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黑体" w:hAnsi="黑体" w:eastAsia="黑体" w:cs="黑体"/>
          <w:b w:val="0"/>
          <w:bCs w:val="0"/>
          <w:kern w:val="0"/>
          <w:sz w:val="32"/>
          <w:szCs w:val="32"/>
          <w:lang w:val="en-US" w:eastAsia="zh-CN"/>
        </w:rPr>
      </w:pPr>
      <w:bookmarkStart w:id="0" w:name="_Toc157946368"/>
      <w:r>
        <w:rPr>
          <w:rFonts w:hint="eastAsia" w:ascii="黑体" w:hAnsi="黑体" w:eastAsia="黑体" w:cs="黑体"/>
          <w:b w:val="0"/>
          <w:bCs w:val="0"/>
          <w:kern w:val="0"/>
          <w:sz w:val="32"/>
          <w:szCs w:val="32"/>
          <w:lang w:val="en-US" w:eastAsia="zh-CN"/>
        </w:rPr>
        <w:t>附件</w:t>
      </w:r>
      <w:bookmarkStart w:id="1" w:name="_GoBack"/>
      <w:bookmarkEnd w:id="1"/>
    </w:p>
    <w:p>
      <w:pPr>
        <w:keepNext w:val="0"/>
        <w:keepLines w:val="0"/>
        <w:pageBreakBefore w:val="0"/>
        <w:widowControl/>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开平市人民政府行政服务中心</w:t>
      </w:r>
    </w:p>
    <w:p>
      <w:pPr>
        <w:keepNext w:val="0"/>
        <w:keepLines w:val="0"/>
        <w:pageBreakBefore w:val="0"/>
        <w:widowControl/>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lang w:eastAsia="zh-CN"/>
        </w:rPr>
        <w:t>保</w:t>
      </w:r>
      <w:r>
        <w:rPr>
          <w:rFonts w:hint="eastAsia" w:ascii="方正小标宋简体" w:hAnsi="方正小标宋简体" w:eastAsia="方正小标宋简体" w:cs="方正小标宋简体"/>
          <w:b w:val="0"/>
          <w:bCs w:val="0"/>
          <w:kern w:val="0"/>
          <w:sz w:val="44"/>
          <w:szCs w:val="44"/>
        </w:rPr>
        <w:t>洁服务项目评定原则与评审方法</w:t>
      </w:r>
      <w:bookmarkEnd w:id="0"/>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kern w:val="0"/>
          <w:sz w:val="44"/>
          <w:szCs w:val="44"/>
        </w:rPr>
      </w:pPr>
    </w:p>
    <w:p>
      <w:pPr>
        <w:widowControl/>
        <w:spacing w:line="480" w:lineRule="exact"/>
        <w:ind w:firstLine="640" w:firstLineChars="200"/>
        <w:jc w:val="left"/>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按能够最大限度地满足需求文件中规定的各项综合评价标准的响应人成交的原则定标。</w:t>
      </w:r>
    </w:p>
    <w:p>
      <w:pPr>
        <w:widowControl/>
        <w:spacing w:line="480" w:lineRule="exact"/>
        <w:ind w:firstLine="640" w:firstLineChars="200"/>
        <w:jc w:val="left"/>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由采购小组对所有响应文件进行响应性审查，未能响应需求文件要求的响应文件作无效响应处理，通过符合性审查的响应人才能进入评比阶段。</w:t>
      </w:r>
    </w:p>
    <w:p>
      <w:pPr>
        <w:widowControl/>
        <w:spacing w:line="480" w:lineRule="exact"/>
        <w:ind w:firstLine="640" w:firstLineChars="200"/>
        <w:jc w:val="left"/>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由采购小组采用综合评分法对提交最后报价的供应商的响应文件和报价进行综合评分，评审以需求文件规定的条件为原则，最低报价不作为成交的唯一依据。</w:t>
      </w:r>
    </w:p>
    <w:p>
      <w:pPr>
        <w:widowControl/>
        <w:spacing w:line="480" w:lineRule="exact"/>
        <w:ind w:firstLine="640" w:firstLineChars="200"/>
        <w:jc w:val="left"/>
        <w:rPr>
          <w:rFonts w:hint="eastAsia" w:ascii="仿宋_GB2312" w:hAnsi="仿宋_GB2312" w:eastAsia="仿宋_GB2312" w:cs="仿宋_GB2312"/>
          <w:b w:val="0"/>
          <w:bCs w:val="0"/>
          <w:kern w:val="0"/>
          <w:sz w:val="32"/>
          <w:szCs w:val="32"/>
        </w:rPr>
      </w:pPr>
    </w:p>
    <w:p>
      <w:pPr>
        <w:widowControl/>
        <w:spacing w:line="480" w:lineRule="exact"/>
        <w:ind w:firstLine="643" w:firstLineChars="200"/>
        <w:jc w:val="left"/>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一、资格和符合性审查： </w:t>
      </w:r>
    </w:p>
    <w:tbl>
      <w:tblPr>
        <w:tblStyle w:val="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9"/>
        <w:gridCol w:w="5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02"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审查项目</w:t>
            </w:r>
          </w:p>
        </w:tc>
        <w:tc>
          <w:tcPr>
            <w:tcW w:w="6378"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审查要求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资格审查</w:t>
            </w:r>
          </w:p>
        </w:tc>
        <w:tc>
          <w:tcPr>
            <w:tcW w:w="6378" w:type="dxa"/>
            <w:tcBorders>
              <w:top w:val="single" w:color="auto" w:sz="4" w:space="0"/>
              <w:left w:val="single" w:color="auto" w:sz="4" w:space="0"/>
              <w:bottom w:val="single" w:color="auto" w:sz="4" w:space="0"/>
              <w:right w:val="single" w:color="auto" w:sz="4" w:space="0"/>
            </w:tcBorders>
          </w:tcPr>
          <w:p>
            <w:pPr>
              <w:widowControl/>
              <w:numPr>
                <w:ilvl w:val="0"/>
                <w:numId w:val="0"/>
              </w:numPr>
              <w:spacing w:line="480" w:lineRule="exact"/>
              <w:ind w:leftChars="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响应人应当具备《政府采购法》第二十二条规定的条件；</w:t>
            </w:r>
          </w:p>
          <w:p>
            <w:pPr>
              <w:widowControl/>
              <w:numPr>
                <w:ilvl w:val="0"/>
                <w:numId w:val="0"/>
              </w:numPr>
              <w:spacing w:line="480" w:lineRule="exact"/>
              <w:ind w:leftChars="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响应人应当是具合法经营资格的法人或者其他组织，且具有良好的信誉；</w:t>
            </w:r>
          </w:p>
          <w:p>
            <w:pPr>
              <w:widowControl/>
              <w:numPr>
                <w:ilvl w:val="0"/>
                <w:numId w:val="0"/>
              </w:numPr>
              <w:wordWrap w:val="0"/>
              <w:spacing w:line="480" w:lineRule="exact"/>
              <w:ind w:leftChars="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响应人未被列入“信用中国”网站（www.creditchina.gov.cn）“失信被执行人或重大税收违法案件当事人名单或政府采购严重违法失信行为”记录名单；不处于中国政府采购网（www.ccgp.gov.cn）“政府采购严重违法失信行为信息记录”中的禁止参加政府采购活动期间；</w:t>
            </w:r>
          </w:p>
          <w:p>
            <w:pPr>
              <w:widowControl/>
              <w:numPr>
                <w:ilvl w:val="0"/>
                <w:numId w:val="0"/>
              </w:numPr>
              <w:spacing w:line="480" w:lineRule="exact"/>
              <w:ind w:leftChars="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单位负责人为同一人或者存在直接控股、管理关系的不同供应商，不得参加同一合同项下的政府采购活动；</w:t>
            </w:r>
          </w:p>
          <w:p>
            <w:pPr>
              <w:widowControl/>
              <w:numPr>
                <w:ilvl w:val="0"/>
                <w:numId w:val="0"/>
              </w:numPr>
              <w:spacing w:line="480" w:lineRule="exact"/>
              <w:ind w:leftChars="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本项目不允许分包，不接受联合体响应。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02"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符合性审查</w:t>
            </w:r>
          </w:p>
        </w:tc>
        <w:tc>
          <w:tcPr>
            <w:tcW w:w="6378" w:type="dxa"/>
            <w:tcBorders>
              <w:top w:val="single" w:color="auto" w:sz="4" w:space="0"/>
              <w:left w:val="single" w:color="auto" w:sz="4" w:space="0"/>
              <w:bottom w:val="single" w:color="auto" w:sz="4" w:space="0"/>
              <w:right w:val="single" w:color="auto" w:sz="4" w:space="0"/>
            </w:tcBorders>
          </w:tcPr>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响应文件按照需求文件规定要求签署、盖章。</w:t>
            </w:r>
          </w:p>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响应报价符合需求文件规定的报价要求。</w:t>
            </w:r>
          </w:p>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响应有效期符合需求文件要求。</w:t>
            </w:r>
          </w:p>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响应文件不存在需求文件或法规明确规定的其他无效响应情形。</w:t>
            </w:r>
          </w:p>
        </w:tc>
      </w:tr>
    </w:tbl>
    <w:p>
      <w:pPr>
        <w:widowControl/>
        <w:spacing w:line="480" w:lineRule="exact"/>
        <w:jc w:val="left"/>
        <w:rPr>
          <w:rFonts w:hint="eastAsia" w:ascii="仿宋_GB2312" w:hAnsi="仿宋_GB2312" w:eastAsia="仿宋_GB2312" w:cs="仿宋_GB2312"/>
          <w:b/>
          <w:kern w:val="0"/>
          <w:sz w:val="32"/>
          <w:szCs w:val="32"/>
        </w:rPr>
      </w:pPr>
    </w:p>
    <w:p>
      <w:pPr>
        <w:widowControl/>
        <w:spacing w:line="480" w:lineRule="exact"/>
        <w:ind w:firstLine="643" w:firstLineChars="200"/>
        <w:jc w:val="left"/>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二、本项目评分权重及评审因素如下：</w:t>
      </w:r>
    </w:p>
    <w:tbl>
      <w:tblPr>
        <w:tblStyle w:val="5"/>
        <w:tblW w:w="89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9"/>
        <w:gridCol w:w="1796"/>
        <w:gridCol w:w="5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349"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评分项目/权重</w:t>
            </w:r>
          </w:p>
        </w:tc>
        <w:tc>
          <w:tcPr>
            <w:tcW w:w="1796"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评审因素</w:t>
            </w:r>
          </w:p>
        </w:tc>
        <w:tc>
          <w:tcPr>
            <w:tcW w:w="578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评审指标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6" w:hRule="atLeast"/>
          <w:jc w:val="center"/>
        </w:trPr>
        <w:tc>
          <w:tcPr>
            <w:tcW w:w="1349" w:type="dxa"/>
            <w:vMerge w:val="restart"/>
            <w:tcBorders>
              <w:top w:val="single" w:color="auto" w:sz="4" w:space="0"/>
              <w:left w:val="single" w:color="auto" w:sz="4" w:space="0"/>
              <w:right w:val="single" w:color="auto" w:sz="4" w:space="0"/>
            </w:tcBorders>
            <w:vAlign w:val="center"/>
          </w:tcPr>
          <w:p>
            <w:pPr>
              <w:widowControl/>
              <w:spacing w:line="480" w:lineRule="exact"/>
              <w:jc w:val="center"/>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技术评分（40分）</w:t>
            </w:r>
          </w:p>
        </w:tc>
        <w:tc>
          <w:tcPr>
            <w:tcW w:w="1796"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对采购人需求的响应程度（投标服务方案）（5分）</w:t>
            </w:r>
          </w:p>
        </w:tc>
        <w:tc>
          <w:tcPr>
            <w:tcW w:w="578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left"/>
              <w:rPr>
                <w:rFonts w:hint="eastAsia" w:ascii="仿宋_GB2312" w:hAnsi="仿宋_GB2312" w:eastAsia="仿宋_GB2312" w:cs="仿宋_GB2312"/>
                <w:kern w:val="0"/>
                <w:sz w:val="32"/>
                <w:szCs w:val="32"/>
              </w:rPr>
            </w:pPr>
          </w:p>
          <w:p>
            <w:pPr>
              <w:widowControl/>
              <w:spacing w:line="480" w:lineRule="exact"/>
              <w:jc w:val="left"/>
              <w:rPr>
                <w:rFonts w:hint="eastAsia" w:ascii="仿宋_GB2312" w:hAnsi="仿宋_GB2312" w:eastAsia="仿宋_GB2312" w:cs="仿宋_GB2312"/>
                <w:kern w:val="0"/>
                <w:sz w:val="32"/>
                <w:szCs w:val="32"/>
              </w:rPr>
            </w:pPr>
          </w:p>
          <w:p>
            <w:pPr>
              <w:widowControl/>
              <w:spacing w:line="480" w:lineRule="exact"/>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对有效投标人的总体服务模式进行评审: </w:t>
            </w:r>
          </w:p>
          <w:p>
            <w:pPr>
              <w:widowControl/>
              <w:spacing w:line="480" w:lineRule="exact"/>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总体服务模式科学合理,亮点多,针对性强, 能完全满足采购人的需求的为最优得5分；总体服务模式有一定特点,亮点较多,针对性较强,基本能满足采购人的需求得3分；总体服务模式不合理,无具体措施得1分。</w:t>
            </w:r>
          </w:p>
          <w:p>
            <w:pPr>
              <w:widowControl/>
              <w:spacing w:line="480" w:lineRule="exact"/>
              <w:jc w:val="left"/>
              <w:rPr>
                <w:rFonts w:hint="eastAsia" w:ascii="仿宋_GB2312" w:hAnsi="仿宋_GB2312" w:eastAsia="仿宋_GB2312" w:cs="仿宋_GB2312"/>
                <w:kern w:val="0"/>
                <w:sz w:val="32"/>
                <w:szCs w:val="32"/>
              </w:rPr>
            </w:pPr>
          </w:p>
          <w:p>
            <w:pPr>
              <w:widowControl/>
              <w:spacing w:line="480" w:lineRule="exact"/>
              <w:jc w:val="left"/>
              <w:rPr>
                <w:rFonts w:hint="eastAsia" w:ascii="仿宋_GB2312" w:hAnsi="仿宋_GB2312" w:eastAsia="仿宋_GB2312" w:cs="仿宋_GB2312"/>
                <w:kern w:val="0"/>
                <w:sz w:val="32"/>
                <w:szCs w:val="32"/>
              </w:rPr>
            </w:pPr>
          </w:p>
          <w:p>
            <w:pPr>
              <w:widowControl/>
              <w:spacing w:line="480" w:lineRule="exact"/>
              <w:jc w:val="left"/>
              <w:rPr>
                <w:rFonts w:hint="eastAsia" w:ascii="仿宋_GB2312" w:hAnsi="仿宋_GB2312" w:eastAsia="仿宋_GB2312" w:cs="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35" w:hRule="atLeast"/>
          <w:jc w:val="center"/>
        </w:trPr>
        <w:tc>
          <w:tcPr>
            <w:tcW w:w="1349" w:type="dxa"/>
            <w:vMerge w:val="continue"/>
            <w:tcBorders>
              <w:left w:val="single" w:color="auto" w:sz="4" w:space="0"/>
              <w:right w:val="single" w:color="auto" w:sz="4" w:space="0"/>
            </w:tcBorders>
            <w:vAlign w:val="center"/>
          </w:tcPr>
          <w:p>
            <w:pPr>
              <w:widowControl/>
              <w:jc w:val="left"/>
              <w:rPr>
                <w:rFonts w:hint="eastAsia" w:ascii="仿宋_GB2312" w:hAnsi="仿宋_GB2312" w:eastAsia="仿宋_GB2312" w:cs="仿宋_GB2312"/>
                <w:bCs/>
                <w:kern w:val="0"/>
                <w:sz w:val="32"/>
                <w:szCs w:val="32"/>
              </w:rPr>
            </w:pPr>
          </w:p>
        </w:tc>
        <w:tc>
          <w:tcPr>
            <w:tcW w:w="1796"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管理规章制度（5分）</w:t>
            </w:r>
          </w:p>
        </w:tc>
        <w:tc>
          <w:tcPr>
            <w:tcW w:w="578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根据投标人针对本项目编制的保洁服务管理制度、岗位责任制度、保洁员管理制度、培训制度及标准、管理人员考核制度评审：</w:t>
            </w:r>
          </w:p>
          <w:p>
            <w:pPr>
              <w:widowControl/>
              <w:spacing w:line="480" w:lineRule="exact"/>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投标人针对本项目编制的保洁服务管理制度详细完整，符合规范，科学合理的，得5分，其他不得分；</w:t>
            </w:r>
          </w:p>
          <w:p>
            <w:pPr>
              <w:widowControl/>
              <w:spacing w:line="480" w:lineRule="exact"/>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投标人针对本项目编制的保洁员管理制度，详细完整，符合规范，科学合理的，得3分，其他不得分；</w:t>
            </w:r>
          </w:p>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highlight w:val="none"/>
              </w:rPr>
              <w:t>投标人针对本项目编制的管理人员考核制度，详细完整，符合规范，科学合理的，得1分，其他不得分。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2" w:hRule="atLeast"/>
          <w:jc w:val="center"/>
        </w:trPr>
        <w:tc>
          <w:tcPr>
            <w:tcW w:w="1349" w:type="dxa"/>
            <w:vMerge w:val="continue"/>
            <w:tcBorders>
              <w:left w:val="single" w:color="auto" w:sz="4" w:space="0"/>
              <w:right w:val="single" w:color="auto" w:sz="4" w:space="0"/>
            </w:tcBorders>
            <w:vAlign w:val="center"/>
          </w:tcPr>
          <w:p>
            <w:pPr>
              <w:widowControl/>
              <w:jc w:val="left"/>
              <w:rPr>
                <w:rFonts w:hint="eastAsia" w:ascii="仿宋_GB2312" w:hAnsi="仿宋_GB2312" w:eastAsia="仿宋_GB2312" w:cs="仿宋_GB2312"/>
                <w:bCs/>
                <w:kern w:val="0"/>
                <w:sz w:val="32"/>
                <w:szCs w:val="32"/>
              </w:rPr>
            </w:pPr>
          </w:p>
        </w:tc>
        <w:tc>
          <w:tcPr>
            <w:tcW w:w="1796"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服务质量保证措施（5分）</w:t>
            </w:r>
          </w:p>
        </w:tc>
        <w:tc>
          <w:tcPr>
            <w:tcW w:w="578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根据投标人提供的质量保证体系及措施进行评审：</w:t>
            </w:r>
          </w:p>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体系完整，配套措施完善，得5分；</w:t>
            </w:r>
          </w:p>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体系较为完整，配套措施较为完善，得3分；</w:t>
            </w:r>
          </w:p>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未提供质量保证体系或措施的得1分。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8" w:hRule="atLeast"/>
          <w:jc w:val="center"/>
        </w:trPr>
        <w:tc>
          <w:tcPr>
            <w:tcW w:w="1349" w:type="dxa"/>
            <w:vMerge w:val="continue"/>
            <w:tcBorders>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bCs/>
                <w:kern w:val="0"/>
                <w:sz w:val="32"/>
                <w:szCs w:val="32"/>
              </w:rPr>
            </w:pPr>
          </w:p>
        </w:tc>
        <w:tc>
          <w:tcPr>
            <w:tcW w:w="1796"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培训及管理方案（5分）</w:t>
            </w:r>
          </w:p>
        </w:tc>
        <w:tc>
          <w:tcPr>
            <w:tcW w:w="578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根据投标人提供的相关培训及管理方案介绍进行评分：</w:t>
            </w:r>
          </w:p>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专业培训方案及计划详细合理、培训资源丰富、管理目标与措施强，得5分；</w:t>
            </w:r>
          </w:p>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专业培训方案及计划、培训资源、管理目标与措施一般，得3分；</w:t>
            </w:r>
          </w:p>
          <w:p>
            <w:pPr>
              <w:widowControl/>
              <w:spacing w:line="480" w:lineRule="exact"/>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专业培训方案及计划、培训资源、管理目标与措施较差，得1分</w:t>
            </w:r>
            <w:r>
              <w:rPr>
                <w:rFonts w:hint="eastAsia" w:ascii="仿宋_GB2312" w:hAnsi="仿宋_GB2312" w:eastAsia="仿宋_GB2312" w:cs="仿宋_GB2312"/>
                <w:kern w:val="0"/>
                <w:sz w:val="32"/>
                <w:szCs w:val="3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349" w:type="dxa"/>
            <w:tcBorders>
              <w:left w:val="single" w:color="auto" w:sz="4" w:space="0"/>
              <w:bottom w:val="single" w:color="auto" w:sz="4" w:space="0"/>
              <w:right w:val="single" w:color="auto" w:sz="4" w:space="0"/>
            </w:tcBorders>
            <w:vAlign w:val="center"/>
          </w:tcPr>
          <w:p>
            <w:pPr>
              <w:rPr>
                <w:rFonts w:hint="eastAsia" w:ascii="仿宋_GB2312" w:hAnsi="仿宋_GB2312" w:eastAsia="仿宋_GB2312" w:cs="仿宋_GB2312"/>
                <w:sz w:val="32"/>
                <w:szCs w:val="32"/>
              </w:rPr>
            </w:pPr>
          </w:p>
        </w:tc>
        <w:tc>
          <w:tcPr>
            <w:tcW w:w="1796"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项目负责人资质（10分）</w:t>
            </w:r>
          </w:p>
        </w:tc>
        <w:tc>
          <w:tcPr>
            <w:tcW w:w="578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left"/>
              <w:rPr>
                <w:rFonts w:hint="eastAsia" w:ascii="仿宋_GB2312" w:hAnsi="仿宋_GB2312" w:eastAsia="仿宋_GB2312" w:cs="仿宋_GB2312"/>
                <w:kern w:val="0"/>
                <w:sz w:val="32"/>
                <w:szCs w:val="32"/>
                <w:highlight w:val="none"/>
                <w:lang w:eastAsia="zh-CN"/>
              </w:rPr>
            </w:pPr>
            <w:r>
              <w:rPr>
                <w:rFonts w:hint="eastAsia" w:ascii="仿宋_GB2312" w:hAnsi="仿宋_GB2312" w:eastAsia="仿宋_GB2312" w:cs="仿宋_GB2312"/>
                <w:kern w:val="0"/>
                <w:sz w:val="32"/>
                <w:szCs w:val="32"/>
                <w:highlight w:val="none"/>
              </w:rPr>
              <w:t>1. 项目负责人持有人力资源和社会保障部门颁发的一级人力资源管理师得4分；持有二级或以下得2分；无得0分</w:t>
            </w:r>
            <w:r>
              <w:rPr>
                <w:rFonts w:hint="eastAsia" w:ascii="仿宋_GB2312" w:hAnsi="仿宋_GB2312" w:eastAsia="仿宋_GB2312" w:cs="仿宋_GB2312"/>
                <w:kern w:val="0"/>
                <w:sz w:val="32"/>
                <w:szCs w:val="32"/>
                <w:highlight w:val="none"/>
                <w:lang w:eastAsia="zh-CN"/>
              </w:rPr>
              <w:t>。</w:t>
            </w:r>
          </w:p>
          <w:p>
            <w:pPr>
              <w:widowControl/>
              <w:spacing w:line="480" w:lineRule="exact"/>
              <w:jc w:val="left"/>
              <w:rPr>
                <w:rFonts w:hint="eastAsia" w:ascii="仿宋_GB2312" w:hAnsi="仿宋_GB2312" w:eastAsia="仿宋_GB2312" w:cs="仿宋_GB2312"/>
                <w:kern w:val="0"/>
                <w:sz w:val="32"/>
                <w:szCs w:val="32"/>
                <w:highlight w:val="none"/>
                <w:lang w:eastAsia="zh-CN"/>
              </w:rPr>
            </w:pPr>
            <w:r>
              <w:rPr>
                <w:rFonts w:hint="eastAsia" w:ascii="仿宋_GB2312" w:hAnsi="仿宋_GB2312" w:eastAsia="仿宋_GB2312" w:cs="仿宋_GB2312"/>
                <w:kern w:val="0"/>
                <w:sz w:val="32"/>
                <w:szCs w:val="32"/>
                <w:highlight w:val="none"/>
              </w:rPr>
              <w:t>2. 项目负责人具有高级职称得3分；中级或以下得1分，无得0分</w:t>
            </w:r>
            <w:r>
              <w:rPr>
                <w:rFonts w:hint="eastAsia" w:ascii="仿宋_GB2312" w:hAnsi="仿宋_GB2312" w:eastAsia="仿宋_GB2312" w:cs="仿宋_GB2312"/>
                <w:kern w:val="0"/>
                <w:sz w:val="32"/>
                <w:szCs w:val="32"/>
                <w:highlight w:val="none"/>
                <w:lang w:eastAsia="zh-CN"/>
              </w:rPr>
              <w:t>。</w:t>
            </w:r>
          </w:p>
          <w:p>
            <w:pPr>
              <w:widowControl/>
              <w:spacing w:line="480" w:lineRule="exact"/>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 项目负责人具有本科或以上学历得3分，无得0分。</w:t>
            </w:r>
          </w:p>
          <w:p>
            <w:pPr>
              <w:widowControl/>
              <w:spacing w:line="480" w:lineRule="exact"/>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（需提供相关证书或证明资料和202</w:t>
            </w:r>
            <w:r>
              <w:rPr>
                <w:rFonts w:hint="eastAsia" w:ascii="仿宋_GB2312" w:hAnsi="仿宋_GB2312" w:eastAsia="仿宋_GB2312" w:cs="仿宋_GB2312"/>
                <w:kern w:val="0"/>
                <w:sz w:val="32"/>
                <w:szCs w:val="32"/>
                <w:highlight w:val="none"/>
                <w:lang w:val="en-US" w:eastAsia="zh-CN"/>
              </w:rPr>
              <w:t>6</w:t>
            </w:r>
            <w:r>
              <w:rPr>
                <w:rFonts w:hint="eastAsia" w:ascii="仿宋_GB2312" w:hAnsi="仿宋_GB2312" w:eastAsia="仿宋_GB2312" w:cs="仿宋_GB2312"/>
                <w:kern w:val="0"/>
                <w:sz w:val="32"/>
                <w:szCs w:val="32"/>
                <w:highlight w:val="none"/>
              </w:rPr>
              <w:t>年</w:t>
            </w:r>
            <w:r>
              <w:rPr>
                <w:rFonts w:hint="eastAsia" w:ascii="仿宋_GB2312" w:hAnsi="仿宋_GB2312" w:eastAsia="仿宋_GB2312" w:cs="仿宋_GB2312"/>
                <w:kern w:val="0"/>
                <w:sz w:val="32"/>
                <w:szCs w:val="32"/>
                <w:highlight w:val="none"/>
                <w:lang w:val="en-US" w:eastAsia="zh-CN"/>
              </w:rPr>
              <w:t>4</w:t>
            </w:r>
            <w:r>
              <w:rPr>
                <w:rFonts w:hint="eastAsia" w:ascii="仿宋_GB2312" w:hAnsi="仿宋_GB2312" w:eastAsia="仿宋_GB2312" w:cs="仿宋_GB2312"/>
                <w:kern w:val="0"/>
                <w:sz w:val="32"/>
                <w:szCs w:val="32"/>
                <w:highlight w:val="none"/>
              </w:rPr>
              <w:t>月-</w:t>
            </w:r>
            <w:r>
              <w:rPr>
                <w:rFonts w:hint="eastAsia" w:ascii="仿宋_GB2312" w:hAnsi="仿宋_GB2312" w:eastAsia="仿宋_GB2312" w:cs="仿宋_GB2312"/>
                <w:kern w:val="0"/>
                <w:sz w:val="32"/>
                <w:szCs w:val="32"/>
                <w:highlight w:val="none"/>
                <w:lang w:val="en-US" w:eastAsia="zh-CN"/>
              </w:rPr>
              <w:t>6</w:t>
            </w:r>
            <w:r>
              <w:rPr>
                <w:rFonts w:hint="eastAsia" w:ascii="仿宋_GB2312" w:hAnsi="仿宋_GB2312" w:eastAsia="仿宋_GB2312" w:cs="仿宋_GB2312"/>
                <w:kern w:val="0"/>
                <w:sz w:val="32"/>
                <w:szCs w:val="32"/>
                <w:highlight w:val="none"/>
              </w:rPr>
              <w:t>月连续的社保证明，加盖投标人公章，不能完整提供证明的，不得分）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349" w:type="dxa"/>
            <w:tcBorders>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bCs/>
                <w:kern w:val="0"/>
                <w:sz w:val="32"/>
                <w:szCs w:val="32"/>
              </w:rPr>
            </w:pPr>
          </w:p>
        </w:tc>
        <w:tc>
          <w:tcPr>
            <w:tcW w:w="1796"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项目管理人员（10分）</w:t>
            </w:r>
          </w:p>
        </w:tc>
        <w:tc>
          <w:tcPr>
            <w:tcW w:w="578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 管理员具有与保洁环境绿化相关的高级职称得4分；中级或以下得1分，无得0分；</w:t>
            </w:r>
          </w:p>
          <w:p>
            <w:pPr>
              <w:widowControl/>
              <w:spacing w:line="480" w:lineRule="exact"/>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 管理员具有硕士或以上学历得6分，本科或以下得3分，无得0分。（需提供相关证书或证明资料和202</w:t>
            </w:r>
            <w:r>
              <w:rPr>
                <w:rFonts w:hint="eastAsia" w:ascii="仿宋_GB2312" w:hAnsi="仿宋_GB2312" w:eastAsia="仿宋_GB2312" w:cs="仿宋_GB2312"/>
                <w:kern w:val="0"/>
                <w:sz w:val="32"/>
                <w:szCs w:val="32"/>
                <w:highlight w:val="none"/>
                <w:lang w:val="en-US" w:eastAsia="zh-CN"/>
              </w:rPr>
              <w:t>6</w:t>
            </w:r>
            <w:r>
              <w:rPr>
                <w:rFonts w:hint="eastAsia" w:ascii="仿宋_GB2312" w:hAnsi="仿宋_GB2312" w:eastAsia="仿宋_GB2312" w:cs="仿宋_GB2312"/>
                <w:kern w:val="0"/>
                <w:sz w:val="32"/>
                <w:szCs w:val="32"/>
                <w:highlight w:val="none"/>
              </w:rPr>
              <w:t>年</w:t>
            </w:r>
            <w:r>
              <w:rPr>
                <w:rFonts w:hint="eastAsia" w:ascii="仿宋_GB2312" w:hAnsi="仿宋_GB2312" w:eastAsia="仿宋_GB2312" w:cs="仿宋_GB2312"/>
                <w:kern w:val="0"/>
                <w:sz w:val="32"/>
                <w:szCs w:val="32"/>
                <w:highlight w:val="none"/>
                <w:lang w:val="en-US" w:eastAsia="zh-CN"/>
              </w:rPr>
              <w:t>4</w:t>
            </w:r>
            <w:r>
              <w:rPr>
                <w:rFonts w:hint="eastAsia" w:ascii="仿宋_GB2312" w:hAnsi="仿宋_GB2312" w:eastAsia="仿宋_GB2312" w:cs="仿宋_GB2312"/>
                <w:kern w:val="0"/>
                <w:sz w:val="32"/>
                <w:szCs w:val="32"/>
                <w:highlight w:val="none"/>
              </w:rPr>
              <w:t>月-</w:t>
            </w:r>
            <w:r>
              <w:rPr>
                <w:rFonts w:hint="eastAsia" w:ascii="仿宋_GB2312" w:hAnsi="仿宋_GB2312" w:eastAsia="仿宋_GB2312" w:cs="仿宋_GB2312"/>
                <w:kern w:val="0"/>
                <w:sz w:val="32"/>
                <w:szCs w:val="32"/>
                <w:highlight w:val="none"/>
                <w:lang w:val="en-US" w:eastAsia="zh-CN"/>
              </w:rPr>
              <w:t>6</w:t>
            </w:r>
            <w:r>
              <w:rPr>
                <w:rFonts w:hint="eastAsia" w:ascii="仿宋_GB2312" w:hAnsi="仿宋_GB2312" w:eastAsia="仿宋_GB2312" w:cs="仿宋_GB2312"/>
                <w:kern w:val="0"/>
                <w:sz w:val="32"/>
                <w:szCs w:val="32"/>
                <w:highlight w:val="none"/>
              </w:rPr>
              <w:t>月连续的社保证明，加盖投标人公章，不能完整提供证明的，不得分）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6" w:hRule="atLeast"/>
          <w:jc w:val="center"/>
        </w:trPr>
        <w:tc>
          <w:tcPr>
            <w:tcW w:w="134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商务评分（40分）</w:t>
            </w:r>
          </w:p>
        </w:tc>
        <w:tc>
          <w:tcPr>
            <w:tcW w:w="1796" w:type="dxa"/>
            <w:tcBorders>
              <w:top w:val="single" w:color="auto" w:sz="4" w:space="0"/>
              <w:left w:val="single" w:color="auto" w:sz="4" w:space="0"/>
              <w:bottom w:val="single" w:color="auto" w:sz="4" w:space="0"/>
              <w:right w:val="single" w:color="auto" w:sz="4" w:space="0"/>
            </w:tcBorders>
          </w:tcPr>
          <w:p>
            <w:pPr>
              <w:widowControl/>
              <w:spacing w:line="480" w:lineRule="exact"/>
              <w:jc w:val="center"/>
              <w:rPr>
                <w:rFonts w:hint="eastAsia" w:ascii="仿宋_GB2312" w:hAnsi="仿宋_GB2312" w:eastAsia="仿宋_GB2312" w:cs="仿宋_GB2312"/>
                <w:bCs/>
                <w:kern w:val="0"/>
                <w:sz w:val="32"/>
                <w:szCs w:val="32"/>
              </w:rPr>
            </w:pPr>
          </w:p>
          <w:p>
            <w:pPr>
              <w:widowControl/>
              <w:spacing w:line="480" w:lineRule="exact"/>
              <w:jc w:val="center"/>
              <w:rPr>
                <w:rFonts w:hint="eastAsia" w:ascii="仿宋_GB2312" w:hAnsi="仿宋_GB2312" w:eastAsia="仿宋_GB2312" w:cs="仿宋_GB2312"/>
                <w:bCs/>
                <w:kern w:val="0"/>
                <w:sz w:val="32"/>
                <w:szCs w:val="32"/>
              </w:rPr>
            </w:pPr>
          </w:p>
          <w:p>
            <w:pPr>
              <w:widowControl/>
              <w:spacing w:line="480" w:lineRule="exact"/>
              <w:jc w:val="center"/>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财务状况   (</w:t>
            </w:r>
            <w:r>
              <w:rPr>
                <w:rFonts w:hint="eastAsia" w:ascii="仿宋_GB2312" w:hAnsi="仿宋_GB2312" w:eastAsia="仿宋_GB2312" w:cs="仿宋_GB2312"/>
                <w:bCs/>
                <w:kern w:val="0"/>
                <w:sz w:val="32"/>
                <w:szCs w:val="32"/>
                <w:lang w:val="en-US" w:eastAsia="zh-CN"/>
              </w:rPr>
              <w:t>5</w:t>
            </w:r>
            <w:r>
              <w:rPr>
                <w:rFonts w:hint="eastAsia" w:ascii="仿宋_GB2312" w:hAnsi="仿宋_GB2312" w:eastAsia="仿宋_GB2312" w:cs="仿宋_GB2312"/>
                <w:bCs/>
                <w:kern w:val="0"/>
                <w:sz w:val="32"/>
                <w:szCs w:val="32"/>
              </w:rPr>
              <w:t>分)</w:t>
            </w:r>
          </w:p>
        </w:tc>
        <w:tc>
          <w:tcPr>
            <w:tcW w:w="5780" w:type="dxa"/>
            <w:tcBorders>
              <w:top w:val="single" w:color="auto" w:sz="4" w:space="0"/>
              <w:left w:val="single" w:color="auto" w:sz="4" w:space="0"/>
              <w:bottom w:val="single" w:color="auto" w:sz="4" w:space="0"/>
              <w:right w:val="single" w:color="auto" w:sz="4" w:space="0"/>
            </w:tcBorders>
          </w:tcPr>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根据投标人20</w:t>
            </w:r>
            <w:r>
              <w:rPr>
                <w:rFonts w:hint="eastAsia" w:ascii="仿宋_GB2312" w:hAnsi="仿宋_GB2312" w:eastAsia="仿宋_GB2312" w:cs="仿宋_GB2312"/>
                <w:kern w:val="0"/>
                <w:sz w:val="32"/>
                <w:szCs w:val="32"/>
                <w:lang w:val="en-US" w:eastAsia="zh-CN"/>
              </w:rPr>
              <w:t>23</w:t>
            </w:r>
            <w:r>
              <w:rPr>
                <w:rFonts w:hint="eastAsia" w:ascii="仿宋_GB2312" w:hAnsi="仿宋_GB2312" w:eastAsia="仿宋_GB2312" w:cs="仿宋_GB2312"/>
                <w:kern w:val="0"/>
                <w:sz w:val="32"/>
                <w:szCs w:val="32"/>
              </w:rPr>
              <w:t>年、20</w:t>
            </w:r>
            <w:r>
              <w:rPr>
                <w:rFonts w:hint="eastAsia" w:ascii="仿宋_GB2312" w:hAnsi="仿宋_GB2312" w:eastAsia="仿宋_GB2312" w:cs="仿宋_GB2312"/>
                <w:kern w:val="0"/>
                <w:sz w:val="32"/>
                <w:szCs w:val="32"/>
                <w:lang w:val="en-US" w:eastAsia="zh-CN"/>
              </w:rPr>
              <w:t>24</w:t>
            </w:r>
            <w:r>
              <w:rPr>
                <w:rFonts w:hint="eastAsia" w:ascii="仿宋_GB2312" w:hAnsi="仿宋_GB2312" w:eastAsia="仿宋_GB2312" w:cs="仿宋_GB2312"/>
                <w:kern w:val="0"/>
                <w:sz w:val="32"/>
                <w:szCs w:val="32"/>
              </w:rPr>
              <w:t>年、20</w:t>
            </w:r>
            <w:r>
              <w:rPr>
                <w:rFonts w:hint="eastAsia" w:ascii="仿宋_GB2312" w:hAnsi="仿宋_GB2312" w:eastAsia="仿宋_GB2312" w:cs="仿宋_GB2312"/>
                <w:kern w:val="0"/>
                <w:sz w:val="32"/>
                <w:szCs w:val="32"/>
                <w:lang w:val="en-US" w:eastAsia="zh-CN"/>
              </w:rPr>
              <w:t>25</w:t>
            </w:r>
            <w:r>
              <w:rPr>
                <w:rFonts w:hint="eastAsia" w:ascii="仿宋_GB2312" w:hAnsi="仿宋_GB2312" w:eastAsia="仿宋_GB2312" w:cs="仿宋_GB2312"/>
                <w:kern w:val="0"/>
                <w:sz w:val="32"/>
                <w:szCs w:val="32"/>
              </w:rPr>
              <w:t>年的财务状况进行评审，每一份得</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分，最高得</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分，不提供不得分；</w:t>
            </w:r>
          </w:p>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注：以经会计师事务所审计的财务报告复印件加盖投标人公章为准，因提供的证明材料不清晰等无法反映相关数据的，不得分。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3" w:hRule="atLeast"/>
          <w:jc w:val="center"/>
        </w:trPr>
        <w:tc>
          <w:tcPr>
            <w:tcW w:w="134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bCs/>
                <w:kern w:val="0"/>
                <w:sz w:val="32"/>
                <w:szCs w:val="32"/>
              </w:rPr>
            </w:pPr>
          </w:p>
        </w:tc>
        <w:tc>
          <w:tcPr>
            <w:tcW w:w="1796"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公司实力   （20分）</w:t>
            </w:r>
          </w:p>
        </w:tc>
        <w:tc>
          <w:tcPr>
            <w:tcW w:w="578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投标人具有由国家认证认可监督管理部门批准设立的认证机构颁发并在有效期内的证书，每提供一个得2分，最高得10分。</w:t>
            </w:r>
          </w:p>
          <w:p>
            <w:pPr>
              <w:widowControl/>
              <w:spacing w:line="480" w:lineRule="exact"/>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①质量管理体系认证证书；</w:t>
            </w:r>
          </w:p>
          <w:p>
            <w:pPr>
              <w:widowControl/>
              <w:spacing w:line="480" w:lineRule="exact"/>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②职业健康安全管理体系认证证书；</w:t>
            </w:r>
          </w:p>
          <w:p>
            <w:pPr>
              <w:widowControl/>
              <w:spacing w:line="480" w:lineRule="exact"/>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③环境管理体系认证证书；</w:t>
            </w:r>
          </w:p>
          <w:p>
            <w:pPr>
              <w:widowControl/>
              <w:spacing w:line="480" w:lineRule="exact"/>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④信息安全管理体系认证证书；</w:t>
            </w:r>
          </w:p>
          <w:p>
            <w:pPr>
              <w:widowControl/>
              <w:spacing w:line="480" w:lineRule="exact"/>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⑤诚信管理体系认证证书；</w:t>
            </w:r>
          </w:p>
          <w:p>
            <w:pPr>
              <w:widowControl/>
              <w:spacing w:line="480" w:lineRule="exact"/>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⑥社会责任管理体系认证证书。</w:t>
            </w:r>
          </w:p>
          <w:p>
            <w:pPr>
              <w:widowControl/>
              <w:spacing w:line="480" w:lineRule="exact"/>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注：须提供有效证书复印件加盖投标人公章。</w:t>
            </w:r>
          </w:p>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2.投标人获得</w:t>
            </w:r>
            <w:r>
              <w:rPr>
                <w:rFonts w:hint="eastAsia" w:ascii="仿宋_GB2312" w:hAnsi="仿宋_GB2312" w:eastAsia="仿宋_GB2312" w:cs="仿宋_GB2312"/>
                <w:kern w:val="0"/>
                <w:sz w:val="32"/>
                <w:szCs w:val="32"/>
                <w:lang w:val="en-US" w:eastAsia="zh-CN"/>
              </w:rPr>
              <w:t>2023</w:t>
            </w:r>
            <w:r>
              <w:rPr>
                <w:rFonts w:hint="eastAsia" w:ascii="仿宋_GB2312" w:hAnsi="仿宋_GB2312" w:eastAsia="仿宋_GB2312" w:cs="仿宋_GB2312"/>
                <w:kern w:val="0"/>
                <w:sz w:val="32"/>
                <w:szCs w:val="32"/>
              </w:rPr>
              <w:t>年度、20</w:t>
            </w:r>
            <w:r>
              <w:rPr>
                <w:rFonts w:hint="eastAsia" w:ascii="仿宋_GB2312" w:hAnsi="仿宋_GB2312" w:eastAsia="仿宋_GB2312" w:cs="仿宋_GB2312"/>
                <w:kern w:val="0"/>
                <w:sz w:val="32"/>
                <w:szCs w:val="32"/>
                <w:lang w:val="en-US" w:eastAsia="zh-CN"/>
              </w:rPr>
              <w:t>24</w:t>
            </w:r>
            <w:r>
              <w:rPr>
                <w:rFonts w:hint="eastAsia" w:ascii="仿宋_GB2312" w:hAnsi="仿宋_GB2312" w:eastAsia="仿宋_GB2312" w:cs="仿宋_GB2312"/>
                <w:kern w:val="0"/>
                <w:sz w:val="32"/>
                <w:szCs w:val="32"/>
              </w:rPr>
              <w:t>年度、20</w:t>
            </w:r>
            <w:r>
              <w:rPr>
                <w:rFonts w:hint="eastAsia" w:ascii="仿宋_GB2312" w:hAnsi="仿宋_GB2312" w:eastAsia="仿宋_GB2312" w:cs="仿宋_GB2312"/>
                <w:kern w:val="0"/>
                <w:sz w:val="32"/>
                <w:szCs w:val="32"/>
                <w:lang w:val="en-US" w:eastAsia="zh-CN"/>
              </w:rPr>
              <w:t>25</w:t>
            </w:r>
            <w:r>
              <w:rPr>
                <w:rFonts w:hint="eastAsia" w:ascii="仿宋_GB2312" w:hAnsi="仿宋_GB2312" w:eastAsia="仿宋_GB2312" w:cs="仿宋_GB2312"/>
                <w:kern w:val="0"/>
                <w:sz w:val="32"/>
                <w:szCs w:val="32"/>
              </w:rPr>
              <w:t>年度工商行政主管部门或其他政府职能部门或承接前述部门发布“守合同重信用”证书职能的非盈利性组织发布的有效的“守合同重信用”（或“重合同守信用”）情况，连续三年的得5分，连续两年的得5分，不连续或只有一年的得1分，无则得0分。</w:t>
            </w:r>
          </w:p>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.具有注册地清洁行业协会颁布的清洁清洗服务资质的，得5分，无得0分；</w:t>
            </w:r>
          </w:p>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注：必须提供相关证明材料复印件加盖投标人公章，否则不得分。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1" w:hRule="atLeast"/>
          <w:jc w:val="center"/>
        </w:trPr>
        <w:tc>
          <w:tcPr>
            <w:tcW w:w="134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bCs/>
                <w:kern w:val="0"/>
                <w:sz w:val="32"/>
                <w:szCs w:val="32"/>
              </w:rPr>
            </w:pPr>
          </w:p>
        </w:tc>
        <w:tc>
          <w:tcPr>
            <w:tcW w:w="1796"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项目业绩   （10分）</w:t>
            </w:r>
          </w:p>
        </w:tc>
        <w:tc>
          <w:tcPr>
            <w:tcW w:w="5780" w:type="dxa"/>
            <w:tcBorders>
              <w:top w:val="single" w:color="auto" w:sz="4" w:space="0"/>
              <w:left w:val="single" w:color="auto" w:sz="4" w:space="0"/>
              <w:bottom w:val="single" w:color="auto" w:sz="4" w:space="0"/>
              <w:right w:val="single" w:color="auto" w:sz="4" w:space="0"/>
            </w:tcBorders>
            <w:vAlign w:val="center"/>
          </w:tcPr>
          <w:p>
            <w:pPr>
              <w:widowControl/>
              <w:snapToGrid w:val="0"/>
              <w:spacing w:line="480" w:lineRule="exact"/>
              <w:jc w:val="left"/>
              <w:rPr>
                <w:rFonts w:hint="eastAsia" w:ascii="仿宋_GB2312" w:hAnsi="仿宋_GB2312" w:eastAsia="仿宋_GB2312" w:cs="仿宋_GB2312"/>
                <w:i/>
                <w:kern w:val="0"/>
                <w:sz w:val="32"/>
                <w:szCs w:val="32"/>
              </w:rPr>
            </w:pPr>
            <w:r>
              <w:rPr>
                <w:rFonts w:hint="eastAsia" w:ascii="仿宋_GB2312" w:hAnsi="仿宋_GB2312" w:eastAsia="仿宋_GB2312" w:cs="仿宋_GB2312"/>
                <w:kern w:val="0"/>
                <w:sz w:val="32"/>
                <w:szCs w:val="32"/>
                <w:highlight w:val="none"/>
              </w:rPr>
              <w:t>20</w:t>
            </w:r>
            <w:r>
              <w:rPr>
                <w:rFonts w:hint="eastAsia" w:ascii="仿宋_GB2312" w:hAnsi="仿宋_GB2312" w:eastAsia="仿宋_GB2312" w:cs="仿宋_GB2312"/>
                <w:kern w:val="0"/>
                <w:sz w:val="32"/>
                <w:szCs w:val="32"/>
                <w:highlight w:val="none"/>
                <w:lang w:val="en-US" w:eastAsia="zh-CN"/>
              </w:rPr>
              <w:t>23</w:t>
            </w:r>
            <w:r>
              <w:rPr>
                <w:rFonts w:hint="eastAsia" w:ascii="仿宋_GB2312" w:hAnsi="仿宋_GB2312" w:eastAsia="仿宋_GB2312" w:cs="仿宋_GB2312"/>
                <w:kern w:val="0"/>
                <w:sz w:val="32"/>
                <w:szCs w:val="32"/>
                <w:highlight w:val="none"/>
              </w:rPr>
              <w:t>年至今的相关同类服务项目合同，每个得5分,满分10分。</w:t>
            </w:r>
            <w:r>
              <w:rPr>
                <w:rFonts w:hint="eastAsia" w:ascii="仿宋_GB2312" w:hAnsi="仿宋_GB2312" w:eastAsia="仿宋_GB2312" w:cs="仿宋_GB2312"/>
                <w:kern w:val="0"/>
                <w:sz w:val="32"/>
                <w:szCs w:val="32"/>
              </w:rPr>
              <w:t>（投标时提供合同复印件）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1" w:hRule="atLeast"/>
          <w:jc w:val="center"/>
        </w:trPr>
        <w:tc>
          <w:tcPr>
            <w:tcW w:w="134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bCs/>
                <w:kern w:val="0"/>
                <w:sz w:val="32"/>
                <w:szCs w:val="32"/>
              </w:rPr>
            </w:pPr>
          </w:p>
        </w:tc>
        <w:tc>
          <w:tcPr>
            <w:tcW w:w="1796" w:type="dxa"/>
            <w:tcBorders>
              <w:top w:val="single" w:color="auto" w:sz="4" w:space="0"/>
              <w:left w:val="single" w:color="auto" w:sz="4" w:space="0"/>
              <w:bottom w:val="single" w:color="auto" w:sz="4" w:space="0"/>
              <w:right w:val="single" w:color="auto" w:sz="4" w:space="0"/>
            </w:tcBorders>
            <w:vAlign w:val="center"/>
          </w:tcPr>
          <w:p>
            <w:pPr>
              <w:widowControl/>
              <w:spacing w:line="480" w:lineRule="exact"/>
              <w:ind w:left="320" w:hanging="320" w:hanging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客户评价(</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分)</w:t>
            </w:r>
          </w:p>
        </w:tc>
        <w:tc>
          <w:tcPr>
            <w:tcW w:w="5780" w:type="dxa"/>
            <w:tcBorders>
              <w:top w:val="single" w:color="auto" w:sz="4" w:space="0"/>
              <w:left w:val="single" w:color="auto" w:sz="4" w:space="0"/>
              <w:bottom w:val="single" w:color="auto" w:sz="4" w:space="0"/>
              <w:right w:val="single" w:color="auto" w:sz="4" w:space="0"/>
            </w:tcBorders>
            <w:vAlign w:val="center"/>
          </w:tcPr>
          <w:p>
            <w:pPr>
              <w:widowControl/>
              <w:snapToGrid w:val="0"/>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w:t>
            </w:r>
            <w:r>
              <w:rPr>
                <w:rFonts w:hint="eastAsia" w:ascii="仿宋_GB2312" w:hAnsi="仿宋_GB2312" w:eastAsia="仿宋_GB2312" w:cs="仿宋_GB2312"/>
                <w:kern w:val="0"/>
                <w:sz w:val="32"/>
                <w:szCs w:val="32"/>
                <w:lang w:val="en-US" w:eastAsia="zh-CN"/>
              </w:rPr>
              <w:t>23</w:t>
            </w:r>
            <w:r>
              <w:rPr>
                <w:rFonts w:hint="eastAsia" w:ascii="仿宋_GB2312" w:hAnsi="仿宋_GB2312" w:eastAsia="仿宋_GB2312" w:cs="仿宋_GB2312"/>
                <w:kern w:val="0"/>
                <w:sz w:val="32"/>
                <w:szCs w:val="32"/>
              </w:rPr>
              <w:t>年以来的项目（必须为以上投标人业绩情况中的有效计分的业绩，须提供评价单位的联系人及联系方式）。获得项目用户考核评价为正面评价（优秀或满意或相当之类的评价）。每提供一份项目的正面评价得</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分，此项目最高</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分，同一项目不同年份的合同按一份计算，不重复计算分数。（注：提供合同甲方或甲方项目主管部门盖章的评价文件，不提供不得分）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2" w:hRule="atLeast"/>
          <w:jc w:val="center"/>
        </w:trPr>
        <w:tc>
          <w:tcPr>
            <w:tcW w:w="1349"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价格评分（20分）</w:t>
            </w:r>
          </w:p>
        </w:tc>
        <w:tc>
          <w:tcPr>
            <w:tcW w:w="1796"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报价情况</w:t>
            </w:r>
          </w:p>
        </w:tc>
        <w:tc>
          <w:tcPr>
            <w:tcW w:w="578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符合招标文件要求，报价排序，价低者满分20分，依次递减5分。</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0FE5654-3004-43B1-92F6-CAF0202F25A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CAF74FD-DA6F-443F-913D-09846F821727}"/>
  </w:font>
  <w:font w:name="方正小标宋简体">
    <w:panose1 w:val="03000509000000000000"/>
    <w:charset w:val="86"/>
    <w:family w:val="auto"/>
    <w:pitch w:val="default"/>
    <w:sig w:usb0="00000001" w:usb1="080E0000" w:usb2="00000000" w:usb3="00000000" w:csb0="00040000" w:csb1="00000000"/>
    <w:embedRegular r:id="rId3" w:fontKey="{E5A4B826-810B-471A-ABE0-7F22A0F2A9D8}"/>
  </w:font>
  <w:font w:name="仿宋_GB2312">
    <w:panose1 w:val="02010609030101010101"/>
    <w:charset w:val="86"/>
    <w:family w:val="auto"/>
    <w:pitch w:val="default"/>
    <w:sig w:usb0="00000001" w:usb1="080E0000" w:usb2="00000000" w:usb3="00000000" w:csb0="00040000" w:csb1="00000000"/>
    <w:embedRegular r:id="rId4" w:fontKey="{EAFDDF6F-D230-436F-A6FB-318F5DE0E30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xZmJkNWViZWY0ZDg2YjM5MzM2N2RhMWM1OTAxZjgifQ=="/>
  </w:docVars>
  <w:rsids>
    <w:rsidRoot w:val="00AA65B9"/>
    <w:rsid w:val="001316CE"/>
    <w:rsid w:val="00246969"/>
    <w:rsid w:val="003160E2"/>
    <w:rsid w:val="00364627"/>
    <w:rsid w:val="00451920"/>
    <w:rsid w:val="004C36AC"/>
    <w:rsid w:val="004C4248"/>
    <w:rsid w:val="004C484A"/>
    <w:rsid w:val="00563CDE"/>
    <w:rsid w:val="00672C9A"/>
    <w:rsid w:val="00673066"/>
    <w:rsid w:val="006C5ACD"/>
    <w:rsid w:val="006F1040"/>
    <w:rsid w:val="00757D81"/>
    <w:rsid w:val="00894003"/>
    <w:rsid w:val="008D31C7"/>
    <w:rsid w:val="00901368"/>
    <w:rsid w:val="00915C18"/>
    <w:rsid w:val="0093232A"/>
    <w:rsid w:val="00AA65B9"/>
    <w:rsid w:val="00B072AA"/>
    <w:rsid w:val="00C143DA"/>
    <w:rsid w:val="00C33B09"/>
    <w:rsid w:val="00C430DF"/>
    <w:rsid w:val="00CB0909"/>
    <w:rsid w:val="00E2502D"/>
    <w:rsid w:val="00F8563F"/>
    <w:rsid w:val="00F977CC"/>
    <w:rsid w:val="00FE0EC0"/>
    <w:rsid w:val="17D5272F"/>
    <w:rsid w:val="19F1746B"/>
    <w:rsid w:val="2A594E71"/>
    <w:rsid w:val="2F4B2025"/>
    <w:rsid w:val="3E273380"/>
    <w:rsid w:val="47981B6F"/>
    <w:rsid w:val="58EC6F6F"/>
    <w:rsid w:val="591B55EB"/>
    <w:rsid w:val="5E77406B"/>
    <w:rsid w:val="5EE74FBD"/>
    <w:rsid w:val="61F06811"/>
    <w:rsid w:val="65447643"/>
    <w:rsid w:val="71E4761A"/>
    <w:rsid w:val="7DDE73BB"/>
    <w:rsid w:val="7F1054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2171</Words>
  <Characters>2255</Characters>
  <Lines>16</Lines>
  <Paragraphs>4</Paragraphs>
  <TotalTime>235</TotalTime>
  <ScaleCrop>false</ScaleCrop>
  <LinksUpToDate>false</LinksUpToDate>
  <CharactersWithSpaces>2278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2021-05-19T00:19:00Z</dcterms:created>
  <dc:creator>AutoBVT</dc:creator>
  <cp:lastModifiedBy>柑* ~*</cp:lastModifiedBy>
  <cp:lastPrinted>2024-08-12T07:46:00Z</cp:lastPrinted>
  <dcterms:modified xsi:type="dcterms:W3CDTF">2026-08-04T08:30:52Z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C08EC92784854B6F8622DC5960B93C32_13</vt:lpwstr>
  </property>
  <property fmtid="{D5CDD505-2E9C-101B-9397-08002B2CF9AE}" pid="4" name="KSOTemplateDocerSaveRecord">
    <vt:lpwstr>eyJoZGlkIjoiYjhlOGUzMjNkZjE4MGVkNGFkZGI1YmYxOWIwMWQ4YmUiLCJ1c2VySWQiOiI0MDg5MDIyMjcifQ==</vt:lpwstr>
  </property>
</Properties>
</file>