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6F60F6">
      <w:pPr>
        <w:keepNext w:val="0"/>
        <w:keepLines w:val="0"/>
        <w:pageBreakBefore w:val="0"/>
        <w:widowControl/>
        <w:kinsoku/>
        <w:wordWrap/>
        <w:overflowPunct/>
        <w:topLinePunct w:val="0"/>
        <w:autoSpaceDE/>
        <w:autoSpaceDN/>
        <w:bidi w:val="0"/>
        <w:adjustRightInd/>
        <w:snapToGrid/>
        <w:spacing w:line="700" w:lineRule="exact"/>
        <w:jc w:val="left"/>
        <w:textAlignment w:val="auto"/>
        <w:rPr>
          <w:rFonts w:hint="eastAsia" w:ascii="方正小标宋简体" w:hAnsi="方正小标宋简体" w:eastAsia="方正小标宋简体" w:cs="方正小标宋简体"/>
          <w:b w:val="0"/>
          <w:bCs/>
          <w:sz w:val="44"/>
          <w:szCs w:val="44"/>
        </w:rPr>
      </w:pPr>
      <w:r>
        <w:rPr>
          <w:rFonts w:hint="eastAsia" w:ascii="黑体" w:hAnsi="黑体" w:eastAsia="黑体" w:cs="黑体"/>
          <w:b w:val="0"/>
          <w:bCs w:val="0"/>
          <w:kern w:val="0"/>
          <w:sz w:val="32"/>
          <w:szCs w:val="32"/>
          <w:lang w:val="en-US" w:eastAsia="zh-CN"/>
        </w:rPr>
        <w:t>附件</w:t>
      </w:r>
    </w:p>
    <w:p w14:paraId="3B6BE7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中央空调冷却塔采购项目评定原则与评审方法</w:t>
      </w:r>
    </w:p>
    <w:p w14:paraId="379849E0">
      <w:pPr>
        <w:pStyle w:val="3"/>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一、</w:t>
      </w:r>
      <w:r>
        <w:rPr>
          <w:rFonts w:hint="eastAsia" w:ascii="黑体" w:hAnsi="黑体" w:eastAsia="黑体" w:cs="黑体"/>
          <w:b w:val="0"/>
          <w:bCs w:val="0"/>
          <w:sz w:val="32"/>
          <w:szCs w:val="32"/>
        </w:rPr>
        <w:t>评定原则</w:t>
      </w:r>
    </w:p>
    <w:p w14:paraId="25139C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320" w:firstLineChars="100"/>
        <w:jc w:val="left"/>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 xml:space="preserve">（一）按能够最大限度地满足需求文件中规定的中央空调冷却塔各项综合评价标准的响应人成交的原则定标。 </w:t>
      </w:r>
    </w:p>
    <w:p w14:paraId="144C27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320" w:firstLineChars="100"/>
        <w:jc w:val="left"/>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 xml:space="preserve">（二）由采购承办小组对所有响应文件进行响应性审查，未能响应中央空调冷却塔采购需求文件要求的响应文件作无效响应处理，通过符合性审查的响应人才能进入评比阶段。 </w:t>
      </w:r>
    </w:p>
    <w:p w14:paraId="6F3D6D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320" w:firstLineChars="100"/>
        <w:jc w:val="left"/>
        <w:rPr>
          <w:color w:val="000000"/>
          <w:sz w:val="24"/>
          <w:szCs w:val="24"/>
        </w:rPr>
      </w:pPr>
      <w:r>
        <w:rPr>
          <w:rFonts w:hint="eastAsia" w:ascii="仿宋_GB2312" w:hAnsi="仿宋_GB2312" w:eastAsia="仿宋_GB2312" w:cs="仿宋_GB2312"/>
          <w:b w:val="0"/>
          <w:bCs w:val="0"/>
          <w:sz w:val="32"/>
          <w:szCs w:val="32"/>
          <w:lang w:val="en-US" w:eastAsia="zh-CN" w:bidi="ar-SA"/>
        </w:rPr>
        <w:t>（三）由采购承办小组采用综合评分法对提交最后报价的供应商的响应文件和报价进行综合评分，评审以中央空调冷却塔需求文件规定的技术、商务、供货条件为原则，最低报价不作为成交的唯一依据。</w:t>
      </w:r>
    </w:p>
    <w:p w14:paraId="10BDDBC2">
      <w:pPr>
        <w:pStyle w:val="3"/>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二、</w:t>
      </w:r>
      <w:r>
        <w:rPr>
          <w:rFonts w:hint="eastAsia" w:ascii="黑体" w:hAnsi="黑体" w:eastAsia="黑体" w:cs="黑体"/>
          <w:b w:val="0"/>
          <w:bCs w:val="0"/>
          <w:sz w:val="32"/>
          <w:szCs w:val="32"/>
        </w:rPr>
        <w:t>评审方法</w:t>
      </w:r>
    </w:p>
    <w:p w14:paraId="25C5DF1E">
      <w:pPr>
        <w:pStyle w:val="3"/>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lang w:val="en-US" w:eastAsia="zh-CN"/>
        </w:rPr>
        <w:t>一）</w:t>
      </w:r>
      <w:r>
        <w:rPr>
          <w:rFonts w:hint="eastAsia" w:ascii="楷体_GB2312" w:hAnsi="楷体_GB2312" w:eastAsia="楷体_GB2312" w:cs="楷体_GB2312"/>
          <w:b w:val="0"/>
          <w:bCs w:val="0"/>
          <w:sz w:val="32"/>
          <w:szCs w:val="32"/>
        </w:rPr>
        <w:t>资格和符合性审查</w:t>
      </w:r>
    </w:p>
    <w:tbl>
      <w:tblPr>
        <w:tblStyle w:val="4"/>
        <w:tblW w:w="84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3"/>
        <w:gridCol w:w="5841"/>
      </w:tblGrid>
      <w:tr w14:paraId="0E711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3" w:type="dxa"/>
            <w:vAlign w:val="center"/>
          </w:tcPr>
          <w:p w14:paraId="0BA77FEA">
            <w:pPr>
              <w:pStyle w:val="3"/>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审查项目</w:t>
            </w:r>
          </w:p>
        </w:tc>
        <w:tc>
          <w:tcPr>
            <w:tcW w:w="5841" w:type="dxa"/>
            <w:vAlign w:val="center"/>
          </w:tcPr>
          <w:p w14:paraId="39144D93">
            <w:pPr>
              <w:pStyle w:val="3"/>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审查要求</w:t>
            </w:r>
          </w:p>
        </w:tc>
      </w:tr>
      <w:tr w14:paraId="467FA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3" w:type="dxa"/>
            <w:vAlign w:val="center"/>
          </w:tcPr>
          <w:p w14:paraId="5D2C4907">
            <w:pPr>
              <w:pStyle w:val="3"/>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资格审查</w:t>
            </w:r>
          </w:p>
        </w:tc>
        <w:tc>
          <w:tcPr>
            <w:tcW w:w="5841" w:type="dxa"/>
            <w:vAlign w:val="top"/>
          </w:tcPr>
          <w:p w14:paraId="58DC9DA9">
            <w:pPr>
              <w:keepNext w:val="0"/>
              <w:keepLines w:val="0"/>
              <w:pageBreakBefore w:val="0"/>
              <w:widowControl w:val="0"/>
              <w:numPr>
                <w:ilvl w:val="0"/>
                <w:numId w:val="1"/>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响应人应当是具合法经营资格的法人或者其他组织，具备中央空调冷却塔生产或销售经营资质，且具有良好的信誉；</w:t>
            </w:r>
          </w:p>
          <w:p w14:paraId="17BEF41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响应人未被列入 “信用中国” 网站（</w:t>
            </w:r>
            <w:r>
              <w:rPr>
                <w:rFonts w:hint="eastAsia" w:ascii="仿宋_GB2312" w:hAnsi="仿宋_GB2312" w:eastAsia="仿宋_GB2312" w:cs="仿宋_GB2312"/>
                <w:b w:val="0"/>
                <w:bCs w:val="0"/>
                <w:sz w:val="32"/>
                <w:szCs w:val="32"/>
                <w:lang w:val="en-US" w:eastAsia="zh-CN" w:bidi="ar-SA"/>
              </w:rPr>
              <w:fldChar w:fldCharType="begin"/>
            </w:r>
            <w:r>
              <w:rPr>
                <w:rFonts w:hint="eastAsia" w:ascii="仿宋_GB2312" w:hAnsi="仿宋_GB2312" w:eastAsia="仿宋_GB2312" w:cs="仿宋_GB2312"/>
                <w:b w:val="0"/>
                <w:bCs w:val="0"/>
                <w:sz w:val="32"/>
                <w:szCs w:val="32"/>
                <w:lang w:val="en-US" w:eastAsia="zh-CN" w:bidi="ar-SA"/>
              </w:rPr>
              <w:instrText xml:space="preserve"> HYPERLINK "https://link.wtturl.cn/?target=https://www.creditchina.gov.cn&amp;scene=im&amp;aid=582478&amp;lang=zh" \o "autolink" \t "_blank" </w:instrText>
            </w:r>
            <w:r>
              <w:rPr>
                <w:rFonts w:hint="eastAsia" w:ascii="仿宋_GB2312" w:hAnsi="仿宋_GB2312" w:eastAsia="仿宋_GB2312" w:cs="仿宋_GB2312"/>
                <w:b w:val="0"/>
                <w:bCs w:val="0"/>
                <w:sz w:val="32"/>
                <w:szCs w:val="32"/>
                <w:lang w:val="en-US" w:eastAsia="zh-CN" w:bidi="ar-SA"/>
              </w:rPr>
              <w:fldChar w:fldCharType="separate"/>
            </w:r>
            <w:r>
              <w:rPr>
                <w:rFonts w:hint="eastAsia" w:ascii="仿宋_GB2312" w:hAnsi="仿宋_GB2312" w:eastAsia="仿宋_GB2312" w:cs="仿宋_GB2312"/>
                <w:b w:val="0"/>
                <w:bCs w:val="0"/>
                <w:sz w:val="32"/>
                <w:szCs w:val="32"/>
                <w:lang w:val="en-US" w:eastAsia="zh-CN" w:bidi="ar-SA"/>
              </w:rPr>
              <w:t>www.creditchina.gov.cn</w:t>
            </w:r>
            <w:r>
              <w:rPr>
                <w:rFonts w:hint="eastAsia" w:ascii="仿宋_GB2312" w:hAnsi="仿宋_GB2312" w:eastAsia="仿宋_GB2312" w:cs="仿宋_GB2312"/>
                <w:b w:val="0"/>
                <w:bCs w:val="0"/>
                <w:sz w:val="32"/>
                <w:szCs w:val="32"/>
                <w:lang w:val="en-US" w:eastAsia="zh-CN" w:bidi="ar-SA"/>
              </w:rPr>
              <w:fldChar w:fldCharType="end"/>
            </w:r>
            <w:r>
              <w:rPr>
                <w:rFonts w:hint="eastAsia" w:ascii="仿宋_GB2312" w:hAnsi="仿宋_GB2312" w:eastAsia="仿宋_GB2312" w:cs="仿宋_GB2312"/>
                <w:b w:val="0"/>
                <w:bCs w:val="0"/>
                <w:sz w:val="32"/>
                <w:szCs w:val="32"/>
                <w:lang w:val="en-US" w:eastAsia="zh-CN" w:bidi="ar-SA"/>
              </w:rPr>
              <w:t>）“失信被执行人或重大税收违法案件当事人名单或政府采购严重违法失信行为” 记录名单；不处于中国政府采购</w:t>
            </w:r>
            <w:bookmarkStart w:id="0" w:name="_GoBack"/>
            <w:bookmarkEnd w:id="0"/>
            <w:r>
              <w:rPr>
                <w:rFonts w:hint="eastAsia" w:ascii="仿宋_GB2312" w:hAnsi="仿宋_GB2312" w:eastAsia="仿宋_GB2312" w:cs="仿宋_GB2312"/>
                <w:b w:val="0"/>
                <w:bCs w:val="0"/>
                <w:sz w:val="32"/>
                <w:szCs w:val="32"/>
                <w:lang w:val="en-US" w:eastAsia="zh-CN" w:bidi="ar-SA"/>
              </w:rPr>
              <w:t>（</w:t>
            </w:r>
            <w:r>
              <w:rPr>
                <w:rFonts w:hint="eastAsia" w:ascii="仿宋_GB2312" w:hAnsi="仿宋_GB2312" w:eastAsia="仿宋_GB2312" w:cs="仿宋_GB2312"/>
                <w:b w:val="0"/>
                <w:bCs w:val="0"/>
                <w:sz w:val="32"/>
                <w:szCs w:val="32"/>
                <w:lang w:val="en-US" w:eastAsia="zh-CN" w:bidi="ar-SA"/>
              </w:rPr>
              <w:fldChar w:fldCharType="begin"/>
            </w:r>
            <w:r>
              <w:rPr>
                <w:rFonts w:hint="eastAsia" w:ascii="仿宋_GB2312" w:hAnsi="仿宋_GB2312" w:eastAsia="仿宋_GB2312" w:cs="仿宋_GB2312"/>
                <w:b w:val="0"/>
                <w:bCs w:val="0"/>
                <w:sz w:val="32"/>
                <w:szCs w:val="32"/>
                <w:lang w:val="en-US" w:eastAsia="zh-CN" w:bidi="ar-SA"/>
              </w:rPr>
              <w:instrText xml:space="preserve"> HYPERLINK "https://link.wtturl.cn/?target=https://www.ccgp.gov.cn&amp;scene=im&amp;aid=582478&amp;lang=zh" \o "autolink" \t "_blank" </w:instrText>
            </w:r>
            <w:r>
              <w:rPr>
                <w:rFonts w:hint="eastAsia" w:ascii="仿宋_GB2312" w:hAnsi="仿宋_GB2312" w:eastAsia="仿宋_GB2312" w:cs="仿宋_GB2312"/>
                <w:b w:val="0"/>
                <w:bCs w:val="0"/>
                <w:sz w:val="32"/>
                <w:szCs w:val="32"/>
                <w:lang w:val="en-US" w:eastAsia="zh-CN" w:bidi="ar-SA"/>
              </w:rPr>
              <w:fldChar w:fldCharType="separate"/>
            </w:r>
            <w:r>
              <w:rPr>
                <w:rFonts w:hint="eastAsia" w:ascii="仿宋_GB2312" w:hAnsi="仿宋_GB2312" w:eastAsia="仿宋_GB2312" w:cs="仿宋_GB2312"/>
                <w:b w:val="0"/>
                <w:bCs w:val="0"/>
                <w:sz w:val="32"/>
                <w:szCs w:val="32"/>
                <w:lang w:val="en-US" w:eastAsia="zh-CN" w:bidi="ar-SA"/>
              </w:rPr>
              <w:t>www.ccgp.gov.cn</w:t>
            </w:r>
            <w:r>
              <w:rPr>
                <w:rFonts w:hint="eastAsia" w:ascii="仿宋_GB2312" w:hAnsi="仿宋_GB2312" w:eastAsia="仿宋_GB2312" w:cs="仿宋_GB2312"/>
                <w:b w:val="0"/>
                <w:bCs w:val="0"/>
                <w:sz w:val="32"/>
                <w:szCs w:val="32"/>
                <w:lang w:val="en-US" w:eastAsia="zh-CN" w:bidi="ar-SA"/>
              </w:rPr>
              <w:fldChar w:fldCharType="end"/>
            </w:r>
            <w:r>
              <w:rPr>
                <w:rFonts w:hint="eastAsia" w:ascii="仿宋_GB2312" w:hAnsi="仿宋_GB2312" w:eastAsia="仿宋_GB2312" w:cs="仿宋_GB2312"/>
                <w:b w:val="0"/>
                <w:bCs w:val="0"/>
                <w:sz w:val="32"/>
                <w:szCs w:val="32"/>
                <w:lang w:val="en-US" w:eastAsia="zh-CN" w:bidi="ar-SA"/>
              </w:rPr>
              <w:t>）“政府采购严重违法失信行为信息记录” 中的禁止参加政府采购活动期间；</w:t>
            </w:r>
          </w:p>
          <w:p w14:paraId="61D0497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单位负责人为同一人或者存在直接控股、管理关系的不同供应商，不得参加同一中央空调冷却塔采购合同项下的政府采购活动；</w:t>
            </w:r>
          </w:p>
          <w:p w14:paraId="54B19A1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bidi="ar-SA"/>
              </w:rPr>
              <w:t>本项目不允许分包，不接受联合体响应。</w:t>
            </w:r>
          </w:p>
        </w:tc>
      </w:tr>
      <w:tr w14:paraId="5720C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3" w:type="dxa"/>
            <w:vAlign w:val="center"/>
          </w:tcPr>
          <w:p w14:paraId="5ADE93BF">
            <w:pPr>
              <w:pStyle w:val="3"/>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符合性审查</w:t>
            </w:r>
          </w:p>
        </w:tc>
        <w:tc>
          <w:tcPr>
            <w:tcW w:w="5841" w:type="dxa"/>
            <w:vAlign w:val="top"/>
          </w:tcPr>
          <w:p w14:paraId="1A2AFDF9">
            <w:pPr>
              <w:keepNext w:val="0"/>
              <w:keepLines w:val="0"/>
              <w:pageBreakBefore w:val="0"/>
              <w:widowControl/>
              <w:numPr>
                <w:numId w:val="0"/>
              </w:numPr>
              <w:kinsoku/>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1.响应文件按照中央空调冷却塔需求文件规定要求签署、盖章；</w:t>
            </w:r>
          </w:p>
          <w:p w14:paraId="284F768A">
            <w:pPr>
              <w:keepNext w:val="0"/>
              <w:keepLines w:val="0"/>
              <w:pageBreakBefore w:val="0"/>
              <w:widowControl/>
              <w:numPr>
                <w:numId w:val="0"/>
              </w:numPr>
              <w:kinsoku/>
              <w:overflowPunct/>
              <w:topLinePunct w:val="0"/>
              <w:autoSpaceDE/>
              <w:autoSpaceDN/>
              <w:bidi w:val="0"/>
              <w:adjustRightInd/>
              <w:snapToGrid/>
              <w:spacing w:line="560" w:lineRule="exact"/>
              <w:ind w:leftChars="0"/>
              <w:jc w:val="left"/>
              <w:textAlignment w:val="auto"/>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2.响应报价符合需求文件规定的报价要求；</w:t>
            </w:r>
          </w:p>
          <w:p w14:paraId="3440517D">
            <w:pPr>
              <w:keepNext w:val="0"/>
              <w:keepLines w:val="0"/>
              <w:pageBreakBefore w:val="0"/>
              <w:widowControl/>
              <w:numPr>
                <w:numId w:val="0"/>
              </w:numPr>
              <w:kinsoku/>
              <w:overflowPunct/>
              <w:topLinePunct w:val="0"/>
              <w:autoSpaceDE/>
              <w:autoSpaceDN/>
              <w:bidi w:val="0"/>
              <w:adjustRightInd/>
              <w:snapToGrid/>
              <w:spacing w:line="560" w:lineRule="exact"/>
              <w:ind w:leftChars="0"/>
              <w:jc w:val="left"/>
              <w:textAlignment w:val="auto"/>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3.响应有效期符合需求文件要求；</w:t>
            </w:r>
          </w:p>
          <w:p w14:paraId="6D0884CB">
            <w:pPr>
              <w:keepNext w:val="0"/>
              <w:keepLines w:val="0"/>
              <w:pageBreakBefore w:val="0"/>
              <w:widowControl/>
              <w:numPr>
                <w:numId w:val="0"/>
              </w:numPr>
              <w:kinsoku/>
              <w:overflowPunct/>
              <w:topLinePunct w:val="0"/>
              <w:autoSpaceDE/>
              <w:autoSpaceDN/>
              <w:bidi w:val="0"/>
              <w:adjustRightInd/>
              <w:snapToGrid/>
              <w:spacing w:line="560" w:lineRule="exact"/>
              <w:ind w:leftChars="0"/>
              <w:jc w:val="left"/>
              <w:textAlignment w:val="auto"/>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4.响应文件不存在需求文件或法规明确规定的其他无效响应情形；</w:t>
            </w:r>
          </w:p>
          <w:p w14:paraId="6FD794F1">
            <w:pPr>
              <w:keepNext w:val="0"/>
              <w:keepLines w:val="0"/>
              <w:pageBreakBefore w:val="0"/>
              <w:widowControl/>
              <w:numPr>
                <w:numId w:val="0"/>
              </w:numPr>
              <w:kinsoku/>
              <w:overflowPunct/>
              <w:topLinePunct w:val="0"/>
              <w:autoSpaceDE/>
              <w:autoSpaceDN/>
              <w:bidi w:val="0"/>
              <w:adjustRightInd/>
              <w:snapToGrid/>
              <w:spacing w:line="560" w:lineRule="exact"/>
              <w:ind w:leftChars="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bidi="ar-SA"/>
              </w:rPr>
              <w:t>5.承诺提供符合国家规范标准、满足项目参数的中央空调冷却塔设备。</w:t>
            </w:r>
          </w:p>
        </w:tc>
      </w:tr>
    </w:tbl>
    <w:p w14:paraId="020AD28F">
      <w:pPr>
        <w:pStyle w:val="3"/>
        <w:keepNext w:val="0"/>
        <w:keepLines w:val="0"/>
        <w:pageBreakBefore w:val="0"/>
        <w:widowControl/>
        <w:kinsoku/>
        <w:overflowPunct/>
        <w:topLinePunct w:val="0"/>
        <w:autoSpaceDE/>
        <w:autoSpaceDN/>
        <w:bidi w:val="0"/>
        <w:adjustRightInd/>
        <w:snapToGrid/>
        <w:spacing w:line="560" w:lineRule="exact"/>
        <w:jc w:val="left"/>
        <w:textAlignment w:val="auto"/>
        <w:rPr>
          <w:rFonts w:hint="eastAsia" w:ascii="楷体_GB2312" w:hAnsi="楷体_GB2312" w:eastAsia="楷体_GB2312" w:cs="楷体_GB2312"/>
          <w:b w:val="0"/>
          <w:bCs w:val="0"/>
          <w:sz w:val="32"/>
          <w:szCs w:val="32"/>
          <w:lang w:eastAsia="zh-CN"/>
        </w:rPr>
      </w:pPr>
    </w:p>
    <w:p w14:paraId="73AC8633">
      <w:pPr>
        <w:pStyle w:val="3"/>
        <w:keepNext w:val="0"/>
        <w:keepLines w:val="0"/>
        <w:pageBreakBefore w:val="0"/>
        <w:widowControl/>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rPr>
        <w:t>二</w:t>
      </w: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rPr>
        <w:t>本项目评分权重及评审因素如下</w:t>
      </w:r>
    </w:p>
    <w:tbl>
      <w:tblPr>
        <w:tblStyle w:val="4"/>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1649"/>
        <w:gridCol w:w="5932"/>
      </w:tblGrid>
      <w:tr w14:paraId="0D911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350" w:type="dxa"/>
            <w:noWrap w:val="0"/>
            <w:vAlign w:val="center"/>
          </w:tcPr>
          <w:p w14:paraId="0A060BF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评分项目/权重</w:t>
            </w:r>
          </w:p>
        </w:tc>
        <w:tc>
          <w:tcPr>
            <w:tcW w:w="1649" w:type="dxa"/>
            <w:noWrap w:val="0"/>
            <w:vAlign w:val="center"/>
          </w:tcPr>
          <w:p w14:paraId="7A09646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评审因素</w:t>
            </w:r>
          </w:p>
        </w:tc>
        <w:tc>
          <w:tcPr>
            <w:tcW w:w="5932" w:type="dxa"/>
            <w:noWrap w:val="0"/>
            <w:vAlign w:val="center"/>
          </w:tcPr>
          <w:p w14:paraId="4C9A79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评审指标</w:t>
            </w:r>
          </w:p>
        </w:tc>
      </w:tr>
      <w:tr w14:paraId="17A25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350" w:type="dxa"/>
            <w:vMerge w:val="restart"/>
            <w:noWrap w:val="0"/>
            <w:vAlign w:val="center"/>
          </w:tcPr>
          <w:p w14:paraId="0BF21B5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技术评分（50%）</w:t>
            </w:r>
          </w:p>
        </w:tc>
        <w:tc>
          <w:tcPr>
            <w:tcW w:w="1649" w:type="dxa"/>
            <w:noWrap w:val="0"/>
            <w:vAlign w:val="center"/>
          </w:tcPr>
          <w:p w14:paraId="18AAED9D">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技术参数响应情况（</w:t>
            </w:r>
            <w:r>
              <w:rPr>
                <w:rFonts w:hint="eastAsia" w:ascii="仿宋_GB2312" w:hAnsi="仿宋_GB2312" w:eastAsia="仿宋_GB2312" w:cs="仿宋_GB2312"/>
                <w:sz w:val="32"/>
                <w:szCs w:val="32"/>
                <w:lang w:val="en-US" w:eastAsia="zh-CN"/>
              </w:rPr>
              <w:t>25分）</w:t>
            </w:r>
          </w:p>
        </w:tc>
        <w:tc>
          <w:tcPr>
            <w:tcW w:w="5932" w:type="dxa"/>
            <w:noWrap w:val="0"/>
            <w:vAlign w:val="center"/>
          </w:tcPr>
          <w:p w14:paraId="08D38262">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考查、对比响应人中央空调冷却塔设备对采购技术参数、性能标准、材质、降噪、节能、冷却效率等技术要求的响应情况，完全满足采购全部技术要求的得 25 分，不满足一般技术参数要求的，每项扣 0.5 分，扣完为止。</w:t>
            </w:r>
          </w:p>
        </w:tc>
      </w:tr>
      <w:tr w14:paraId="6B459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350" w:type="dxa"/>
            <w:vMerge w:val="continue"/>
            <w:noWrap w:val="0"/>
            <w:vAlign w:val="center"/>
          </w:tcPr>
          <w:p w14:paraId="05B59E9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p>
        </w:tc>
        <w:tc>
          <w:tcPr>
            <w:tcW w:w="1649" w:type="dxa"/>
            <w:noWrap w:val="0"/>
            <w:vAlign w:val="center"/>
          </w:tcPr>
          <w:p w14:paraId="6E9928B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供货、安装调试方案（25 分）</w:t>
            </w:r>
          </w:p>
        </w:tc>
        <w:tc>
          <w:tcPr>
            <w:tcW w:w="5932" w:type="dxa"/>
            <w:noWrap w:val="0"/>
            <w:vAlign w:val="center"/>
          </w:tcPr>
          <w:p w14:paraId="2DBE30B8">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考查、对比响应人中央空调冷却塔供货、现场安装、管路对接、调试、试运行方案的合理性、可行性：供货安装调试方案完整合理、落地可行、适配本项目机房工况的，得 25 分；供货安装调试方案较完整、可行性较好的，得 20 分；供货安装调试方案内容简单、常规通用的，得 15 分；供货安装调试方案内容缺失、操作性较差的，得 10 分。</w:t>
            </w:r>
          </w:p>
        </w:tc>
      </w:tr>
      <w:tr w14:paraId="6FCC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350" w:type="dxa"/>
            <w:vMerge w:val="restart"/>
            <w:noWrap w:val="0"/>
            <w:vAlign w:val="center"/>
          </w:tcPr>
          <w:p w14:paraId="1A2646E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商务评分（40%）</w:t>
            </w:r>
          </w:p>
        </w:tc>
        <w:tc>
          <w:tcPr>
            <w:tcW w:w="1649" w:type="dxa"/>
            <w:noWrap w:val="0"/>
            <w:vAlign w:val="center"/>
          </w:tcPr>
          <w:p w14:paraId="09E7D69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经营业绩（</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分）</w:t>
            </w:r>
          </w:p>
        </w:tc>
        <w:tc>
          <w:tcPr>
            <w:tcW w:w="5932" w:type="dxa"/>
            <w:noWrap w:val="0"/>
            <w:vAlign w:val="center"/>
          </w:tcPr>
          <w:p w14:paraId="658B3A79">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服务商须提供 2025 年以来中央空调冷却塔、工业冷却设备同类供货 / 安装业绩。注：提供合同关键页（含签订合同双方的单位名称、冷却塔项目名称、含签订合同双方的落款盖章、签订日期的关键页）复印件或项目验收报告复印件作为证明材料，业绩时间以合同签订日期为准。（提供一个有效业绩得 2 分，本项最高得分为 10 分。）</w:t>
            </w:r>
          </w:p>
        </w:tc>
      </w:tr>
      <w:tr w14:paraId="5E324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350" w:type="dxa"/>
            <w:vMerge w:val="continue"/>
            <w:noWrap w:val="0"/>
            <w:vAlign w:val="center"/>
          </w:tcPr>
          <w:p w14:paraId="4051B8F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p>
        </w:tc>
        <w:tc>
          <w:tcPr>
            <w:tcW w:w="1649" w:type="dxa"/>
            <w:noWrap w:val="0"/>
            <w:vAlign w:val="center"/>
          </w:tcPr>
          <w:p w14:paraId="4A807A7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规章管理制度（</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分）</w:t>
            </w:r>
          </w:p>
        </w:tc>
        <w:tc>
          <w:tcPr>
            <w:tcW w:w="5932" w:type="dxa"/>
            <w:noWrap w:val="0"/>
            <w:vAlign w:val="center"/>
          </w:tcPr>
          <w:p w14:paraId="299ECD26">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考查、对比响应人针对冷却塔生产、仓储、出货、质量检测、出厂检验的各项规章管理制度是否详细、合理：质量管控、供货管理制度完整详细、流程规范合理的，得 10 分；管理制度较完整、流程较规范的，得 8 分；管理制度内容简略、仅基础条款的，得 4 分；管理制度粗略、缺少关键管控流程的，得 2 分；无冷却塔相关质量、供货管理制度的，得 0 分。</w:t>
            </w:r>
          </w:p>
        </w:tc>
      </w:tr>
      <w:tr w14:paraId="4DA52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350" w:type="dxa"/>
            <w:vMerge w:val="continue"/>
            <w:noWrap w:val="0"/>
            <w:vAlign w:val="center"/>
          </w:tcPr>
          <w:p w14:paraId="1BBCE4D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p>
        </w:tc>
        <w:tc>
          <w:tcPr>
            <w:tcW w:w="1649" w:type="dxa"/>
            <w:noWrap w:val="0"/>
            <w:vAlign w:val="center"/>
          </w:tcPr>
          <w:p w14:paraId="32A655D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售后服务（</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分）</w:t>
            </w:r>
          </w:p>
        </w:tc>
        <w:tc>
          <w:tcPr>
            <w:tcW w:w="5932" w:type="dxa"/>
            <w:noWrap w:val="0"/>
            <w:vAlign w:val="center"/>
          </w:tcPr>
          <w:p w14:paraId="2AEC1BA1">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考查、对比响应人本地售后服务网点、专业维修人员配置是否完善，冷却塔质保年限、年度巡检、故障抢修、配件供应、维保方案是否详细完善，能否承诺为本项目冷却塔提供及时、优质、专业的全周期维保服务。售后维保体系完善、响应时效快、质保方案优质专业的，得 20 分；售后维保体系较完善、维保方案较好的，得 15 分；售后服务体系常规、维保方案一般的，得 10 分；售后网点缺失、维保方案不完善、服务保障较差的，得 5 分。</w:t>
            </w:r>
          </w:p>
        </w:tc>
      </w:tr>
      <w:tr w14:paraId="391D0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350" w:type="dxa"/>
            <w:noWrap w:val="0"/>
            <w:vAlign w:val="center"/>
          </w:tcPr>
          <w:p w14:paraId="5721E31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价格评分（10%）</w:t>
            </w:r>
          </w:p>
        </w:tc>
        <w:tc>
          <w:tcPr>
            <w:tcW w:w="1649" w:type="dxa"/>
            <w:noWrap w:val="0"/>
            <w:vAlign w:val="center"/>
          </w:tcPr>
          <w:p w14:paraId="3D94D79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报价情况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10分</w:t>
            </w:r>
            <w:r>
              <w:rPr>
                <w:rFonts w:hint="eastAsia" w:ascii="仿宋_GB2312" w:hAnsi="仿宋_GB2312" w:eastAsia="仿宋_GB2312" w:cs="仿宋_GB2312"/>
                <w:sz w:val="32"/>
                <w:szCs w:val="32"/>
                <w:lang w:eastAsia="zh-CN"/>
              </w:rPr>
              <w:t>）</w:t>
            </w:r>
          </w:p>
        </w:tc>
        <w:tc>
          <w:tcPr>
            <w:tcW w:w="5932" w:type="dxa"/>
            <w:noWrap w:val="0"/>
            <w:vAlign w:val="center"/>
          </w:tcPr>
          <w:p w14:paraId="3B4B33A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符合招标文件全部要求，有效报价统一排序，报价最低者得满分 10 分，其余报价依次递减 2 分。</w:t>
            </w:r>
          </w:p>
        </w:tc>
      </w:tr>
    </w:tbl>
    <w:p w14:paraId="45A072D4">
      <w:pPr>
        <w:ind w:firstLine="560" w:firstLineChars="200"/>
        <w:rPr>
          <w:rFonts w:hint="eastAsia"/>
          <w:sz w:val="28"/>
          <w:szCs w:val="28"/>
        </w:rPr>
      </w:pPr>
    </w:p>
    <w:p w14:paraId="73EFBCFA"/>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926D680-AB0E-4DAF-ABA9-6CDC2204A1E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0519594B-D591-44CD-BDEE-5375B75086FE}"/>
  </w:font>
  <w:font w:name="仿宋_GB2312">
    <w:panose1 w:val="02010609030101010101"/>
    <w:charset w:val="86"/>
    <w:family w:val="auto"/>
    <w:pitch w:val="default"/>
    <w:sig w:usb0="00000001" w:usb1="080E0000" w:usb2="00000000" w:usb3="00000000" w:csb0="00040000" w:csb1="00000000"/>
    <w:embedRegular r:id="rId3" w:fontKey="{A54014B5-78DF-4AA9-80FA-7A9509CE3AC5}"/>
  </w:font>
  <w:font w:name="楷体_GB2312">
    <w:panose1 w:val="02010609030101010101"/>
    <w:charset w:val="86"/>
    <w:family w:val="auto"/>
    <w:pitch w:val="default"/>
    <w:sig w:usb0="00000001" w:usb1="080E0000" w:usb2="00000000" w:usb3="00000000" w:csb0="00040000" w:csb1="00000000"/>
    <w:embedRegular r:id="rId4" w:fontKey="{DD500473-64DB-4A5F-8CA7-28B2E6EA7C89}"/>
  </w:font>
  <w:font w:name="Segoe UI Emoji">
    <w:panose1 w:val="020B0502040204020203"/>
    <w:charset w:val="00"/>
    <w:family w:val="auto"/>
    <w:pitch w:val="default"/>
    <w:sig w:usb0="00000001" w:usb1="02000000" w:usb2="00000000" w:usb3="00000000" w:csb0="00000001" w:csb1="00000000"/>
    <w:embedRegular r:id="rId5" w:fontKey="{D1E32BFE-FAC5-47CE-86E4-F19DA1CF3D8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468A5C"/>
    <w:multiLevelType w:val="singleLevel"/>
    <w:tmpl w:val="B4468A5C"/>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hlNzk1Yjc3ZmM4NDM1MjIwNjZlYmM0ZjkyNzEzOTgifQ=="/>
  </w:docVars>
  <w:rsids>
    <w:rsidRoot w:val="00000000"/>
    <w:rsid w:val="00AD558A"/>
    <w:rsid w:val="01CE3CA3"/>
    <w:rsid w:val="02235D2B"/>
    <w:rsid w:val="023D413A"/>
    <w:rsid w:val="04FC1F39"/>
    <w:rsid w:val="06585F98"/>
    <w:rsid w:val="0875071D"/>
    <w:rsid w:val="0A3A36E4"/>
    <w:rsid w:val="0C293417"/>
    <w:rsid w:val="0F9A1CE4"/>
    <w:rsid w:val="105E12B2"/>
    <w:rsid w:val="112278CE"/>
    <w:rsid w:val="15BE0B52"/>
    <w:rsid w:val="16CC589C"/>
    <w:rsid w:val="16D52D74"/>
    <w:rsid w:val="172577D0"/>
    <w:rsid w:val="178316EF"/>
    <w:rsid w:val="197D60ED"/>
    <w:rsid w:val="1A715B4A"/>
    <w:rsid w:val="1C6C4F4B"/>
    <w:rsid w:val="23156702"/>
    <w:rsid w:val="25B857F7"/>
    <w:rsid w:val="26BD6A82"/>
    <w:rsid w:val="27E2427B"/>
    <w:rsid w:val="27EA1411"/>
    <w:rsid w:val="29EE439A"/>
    <w:rsid w:val="2A6E7E47"/>
    <w:rsid w:val="2AEF5081"/>
    <w:rsid w:val="2D2A393B"/>
    <w:rsid w:val="2E3C4526"/>
    <w:rsid w:val="30D34408"/>
    <w:rsid w:val="3AF16D0C"/>
    <w:rsid w:val="3BA932A0"/>
    <w:rsid w:val="3C230FA5"/>
    <w:rsid w:val="3C683B38"/>
    <w:rsid w:val="3D875F11"/>
    <w:rsid w:val="3EE373DE"/>
    <w:rsid w:val="43B736D3"/>
    <w:rsid w:val="43FF544C"/>
    <w:rsid w:val="44532CED"/>
    <w:rsid w:val="44B76FE3"/>
    <w:rsid w:val="45912351"/>
    <w:rsid w:val="4B726781"/>
    <w:rsid w:val="4C3846F8"/>
    <w:rsid w:val="4DDC6134"/>
    <w:rsid w:val="4E710F72"/>
    <w:rsid w:val="53363557"/>
    <w:rsid w:val="53C25DCC"/>
    <w:rsid w:val="5770733F"/>
    <w:rsid w:val="59AF3C56"/>
    <w:rsid w:val="5ACB37B8"/>
    <w:rsid w:val="603E7109"/>
    <w:rsid w:val="62527F31"/>
    <w:rsid w:val="63036931"/>
    <w:rsid w:val="64D25196"/>
    <w:rsid w:val="674504A4"/>
    <w:rsid w:val="6BAA47F0"/>
    <w:rsid w:val="71F03E76"/>
    <w:rsid w:val="7240240E"/>
    <w:rsid w:val="73764B58"/>
    <w:rsid w:val="75706FDE"/>
    <w:rsid w:val="78447E4A"/>
    <w:rsid w:val="7A5E32F5"/>
    <w:rsid w:val="7A860A83"/>
    <w:rsid w:val="7BD3434A"/>
    <w:rsid w:val="7EF4579C"/>
    <w:rsid w:val="7FF779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宋体" w:cs="Times New Roman"/>
      <w:sz w:val="22"/>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ascii="宋体" w:hAnsi="Courier New" w:eastAsia="宋体"/>
      <w:sz w:val="21"/>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1185</Words>
  <Characters>1257</Characters>
  <Lines>0</Lines>
  <Paragraphs>0</Paragraphs>
  <TotalTime>1</TotalTime>
  <ScaleCrop>false</ScaleCrop>
  <LinksUpToDate>false</LinksUpToDate>
  <CharactersWithSpaces>1257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2023-11-21T06:39:00Z</dcterms:created>
  <dc:creator>GONG</dc:creator>
  <cp:lastModifiedBy>扭拧</cp:lastModifiedBy>
  <cp:lastPrinted>2026-06-15T07:13:00Z</cp:lastPrinted>
  <dcterms:modified xsi:type="dcterms:W3CDTF">2026-08-03T09:06:47Z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D0516E06633946BBAF5D45089EC39421_13</vt:lpwstr>
  </property>
  <property fmtid="{D5CDD505-2E9C-101B-9397-08002B2CF9AE}" pid="4" name="ribbonExt">
    <vt:lpwstr>{"WPSExtOfficeTab":{"OnGetEnabled":false,"OnGetVisible":false}}</vt:lpwstr>
  </property>
  <property fmtid="{D5CDD505-2E9C-101B-9397-08002B2CF9AE}" pid="5" name="KSOTemplateDocerSaveRecord">
    <vt:lpwstr>eyJoZGlkIjoiYjhlOGUzMjNkZjE4MGVkNGFkZGI1YmYxOWIwMWQ4YmUiLCJ1c2VySWQiOiI0MDg5MDIyMjcifQ==</vt:lpwstr>
  </property>
</Properties>
</file>