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D2845">
      <w:pPr>
        <w:pStyle w:val="4"/>
        <w:keepNext/>
        <w:keepLines/>
        <w:pageBreakBefore w:val="0"/>
        <w:widowControl/>
        <w:kinsoku/>
        <w:wordWrap/>
        <w:overflowPunct/>
        <w:topLinePunct w:val="0"/>
        <w:autoSpaceDE/>
        <w:autoSpaceDN/>
        <w:bidi w:val="0"/>
        <w:adjustRightInd w:val="0"/>
        <w:snapToGrid w:val="0"/>
        <w:spacing w:before="0" w:after="0" w:line="700" w:lineRule="exact"/>
        <w:jc w:val="center"/>
        <w:textAlignment w:val="auto"/>
        <w:rPr>
          <w:rFonts w:hint="eastAsia" w:ascii="方正小标宋简体" w:hAnsi="方正小标宋简体" w:eastAsia="方正小标宋简体" w:cs="方正小标宋简体"/>
          <w:color w:val="auto"/>
          <w:sz w:val="44"/>
          <w:szCs w:val="44"/>
        </w:rPr>
      </w:pPr>
      <w:bookmarkStart w:id="0" w:name="开平市贯彻江门市市级储备粮管理办法的实施意见政策解读"/>
      <w:r>
        <w:rPr>
          <w:rFonts w:hint="eastAsia" w:ascii="方正小标宋简体" w:hAnsi="方正小标宋简体" w:eastAsia="方正小标宋简体" w:cs="方正小标宋简体"/>
          <w:color w:val="auto"/>
          <w:sz w:val="44"/>
          <w:szCs w:val="44"/>
        </w:rPr>
        <w:t>《开平市贯彻〈江门市市级储备粮管理办法〉的实施意见》政策解读</w:t>
      </w:r>
    </w:p>
    <w:p w14:paraId="286E7A1F">
      <w:pPr>
        <w:pStyle w:val="5"/>
        <w:pageBreakBefore w:val="0"/>
        <w:widowControl/>
        <w:kinsoku/>
        <w:wordWrap/>
        <w:overflowPunct/>
        <w:topLinePunct w:val="0"/>
        <w:autoSpaceDE/>
        <w:autoSpaceDN/>
        <w:bidi w:val="0"/>
        <w:adjustRightInd w:val="0"/>
        <w:snapToGrid w:val="0"/>
        <w:spacing w:before="0" w:after="0" w:line="560" w:lineRule="exact"/>
        <w:ind w:left="0" w:firstLine="640" w:firstLineChars="200"/>
        <w:textAlignment w:val="auto"/>
        <w:rPr>
          <w:rFonts w:hint="eastAsia" w:ascii="黑体" w:hAnsi="黑体" w:eastAsia="黑体" w:cs="黑体"/>
          <w:color w:val="auto"/>
          <w:sz w:val="32"/>
          <w:szCs w:val="32"/>
        </w:rPr>
      </w:pPr>
      <w:bookmarkStart w:id="1" w:name="一政策背景与制定目的"/>
    </w:p>
    <w:p w14:paraId="6A141386">
      <w:pPr>
        <w:pStyle w:val="5"/>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一、政策背景与制定目的</w:t>
      </w:r>
    </w:p>
    <w:p w14:paraId="2DE39A1F">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i w:val="0"/>
          <w:iCs w:val="0"/>
          <w:caps w:val="0"/>
          <w:color w:val="060A26"/>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60A26"/>
          <w:spacing w:val="0"/>
          <w:kern w:val="0"/>
          <w:sz w:val="32"/>
          <w:szCs w:val="32"/>
          <w:shd w:val="clear" w:color="auto" w:fill="FFFFFF"/>
          <w:lang w:val="en-US" w:eastAsia="zh-CN" w:bidi="ar"/>
        </w:rPr>
        <w:t>《开平市地方储备粮油管理办法》（开府办〔2021〕38号，以下简称《原办法》）自2022年1月1日起施行。实施四年多来，各有关单位和部门协同加强我市地方储备粮油管理，切实保障了储备粮油数量真实、质量良好、储存安全，取得了较好的社会效益和经济效益。粮食安全是国家安全的重要基础。近年来，国家和省相继出台《中华人民共和国粮食安全保障法》《广东省粮食安全保障条例》等法律法规，对地方储备粮管理提出了更高、更严的要求。江门市于2023年2月印发《江门市市级储备粮管理办法》（江府〔2023〕9号）。</w:t>
      </w:r>
    </w:p>
    <w:p w14:paraId="080DC869">
      <w:pPr>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i w:val="0"/>
          <w:iCs w:val="0"/>
          <w:caps w:val="0"/>
          <w:color w:val="060A26"/>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060A26"/>
          <w:spacing w:val="0"/>
          <w:kern w:val="0"/>
          <w:sz w:val="32"/>
          <w:szCs w:val="32"/>
          <w:shd w:val="clear" w:color="auto" w:fill="FFFFFF"/>
          <w:lang w:val="en-US" w:eastAsia="zh-CN" w:bidi="ar"/>
        </w:rPr>
        <w:t>《原办法》</w:t>
      </w:r>
      <w:r>
        <w:rPr>
          <w:rFonts w:hint="default" w:ascii="Times New Roman" w:hAnsi="Times New Roman" w:eastAsia="仿宋_GB2312" w:cs="Times New Roman"/>
          <w:i w:val="0"/>
          <w:iCs w:val="0"/>
          <w:caps w:val="0"/>
          <w:color w:val="060A26"/>
          <w:spacing w:val="0"/>
          <w:kern w:val="0"/>
          <w:sz w:val="32"/>
          <w:szCs w:val="32"/>
          <w:shd w:val="clear" w:color="auto" w:fill="FFFFFF"/>
          <w:lang w:val="en-US" w:eastAsia="zh-CN" w:bidi="ar"/>
        </w:rPr>
        <w:t>有效期至2026年12月31日。该文件即将到期。若不及时作出制度安排，将面临管理依据缺失的风险。同时，原办法部分内容已不适应当前粮食安全治理的新形势、新要求。为确保政策连续稳定、管理规范统一，并有效衔接原办法到期后的制度空白，亟须制定新的规范性文件。</w:t>
      </w:r>
    </w:p>
    <w:p w14:paraId="71258498">
      <w:pPr>
        <w:pStyle w:val="27"/>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在此背景下，</w:t>
      </w:r>
      <w:r>
        <w:rPr>
          <w:rFonts w:hint="default" w:ascii="Times New Roman" w:hAnsi="Times New Roman" w:eastAsia="仿宋_GB2312" w:cs="Times New Roman"/>
          <w:sz w:val="32"/>
          <w:szCs w:val="32"/>
        </w:rPr>
        <w:t>开平市结合本地实际，出台了</w:t>
      </w:r>
      <w:r>
        <w:rPr>
          <w:rFonts w:hint="default" w:ascii="Times New Roman" w:hAnsi="Times New Roman" w:eastAsia="仿宋_GB2312" w:cs="Times New Roman"/>
          <w:sz w:val="32"/>
          <w:szCs w:val="32"/>
          <w:lang w:eastAsia="zh-CN"/>
        </w:rPr>
        <w:t>《开平市贯彻〈江门市市级储备粮管理办法〉的实施意见》（以下简称《实施意见》）</w:t>
      </w:r>
      <w:r>
        <w:rPr>
          <w:rFonts w:hint="default" w:ascii="Times New Roman" w:hAnsi="Times New Roman" w:eastAsia="仿宋_GB2312" w:cs="Times New Roman"/>
          <w:sz w:val="32"/>
          <w:szCs w:val="32"/>
        </w:rPr>
        <w:t>。制定该《实施意见》旨在全面贯彻《中华人民共和国粮食安全保障法》《粮食流通管理条例》及《广东省粮食安全保障条例》等上位法律法规，并切实参照</w:t>
      </w:r>
      <w:r>
        <w:rPr>
          <w:rFonts w:hint="default" w:ascii="Times New Roman" w:hAnsi="Times New Roman" w:eastAsia="仿宋_GB2312" w:cs="Times New Roman"/>
          <w:i w:val="0"/>
          <w:iCs w:val="0"/>
          <w:caps w:val="0"/>
          <w:color w:val="060A26"/>
          <w:spacing w:val="0"/>
          <w:kern w:val="0"/>
          <w:sz w:val="32"/>
          <w:szCs w:val="32"/>
          <w:shd w:val="clear" w:color="auto" w:fill="FFFFFF"/>
          <w:lang w:val="en-US" w:eastAsia="zh-CN" w:bidi="ar"/>
        </w:rPr>
        <w:t>《江门市市级储备粮管理办法》</w:t>
      </w:r>
      <w:r>
        <w:rPr>
          <w:rFonts w:hint="default" w:ascii="Times New Roman" w:hAnsi="Times New Roman" w:eastAsia="仿宋_GB2312" w:cs="Times New Roman"/>
          <w:sz w:val="32"/>
          <w:szCs w:val="32"/>
        </w:rPr>
        <w:t>对开平市地方储备粮进行科学管理。通过明确管理边界与执行标准，从而更好地发挥储备粮在宏观调控、稳定市场及应对突发事件中的关键作用。</w:t>
      </w:r>
    </w:p>
    <w:bookmarkEnd w:id="1"/>
    <w:p w14:paraId="6003313E">
      <w:pPr>
        <w:pStyle w:val="5"/>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黑体" w:cs="Times New Roman"/>
          <w:color w:val="auto"/>
          <w:sz w:val="32"/>
          <w:szCs w:val="32"/>
        </w:rPr>
      </w:pPr>
      <w:bookmarkStart w:id="2" w:name="二政策制定依据"/>
      <w:r>
        <w:rPr>
          <w:rFonts w:hint="default" w:ascii="Times New Roman" w:hAnsi="Times New Roman" w:eastAsia="黑体" w:cs="Times New Roman"/>
          <w:color w:val="auto"/>
          <w:sz w:val="32"/>
          <w:szCs w:val="32"/>
        </w:rPr>
        <w:t>二、政策制定依据</w:t>
      </w:r>
    </w:p>
    <w:p w14:paraId="44D1B2D2">
      <w:pPr>
        <w:pStyle w:val="27"/>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32"/>
        </w:rPr>
        <w:t>本《实施意见》的制定严格遵循国家、省、市相关法律法规及政策文件，主要依据包括：</w:t>
      </w:r>
    </w:p>
    <w:p w14:paraId="35B13DF2">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rPr>
        <w:t>《中华人民共和国粮食安全保障法</w:t>
      </w:r>
      <w:r>
        <w:rPr>
          <w:rFonts w:hint="default" w:ascii="Times New Roman" w:hAnsi="Times New Roman" w:eastAsia="楷体_GB2312" w:cs="Times New Roman"/>
          <w:sz w:val="32"/>
          <w:szCs w:val="32"/>
          <w:lang w:eastAsia="zh-CN"/>
        </w:rPr>
        <w:t>》</w:t>
      </w:r>
    </w:p>
    <w:p w14:paraId="4C23E956">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（二）《粮食流通管理条例》</w:t>
      </w:r>
    </w:p>
    <w:p w14:paraId="13C1D007">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（三）《广东省粮食安全保障条例》</w:t>
      </w:r>
    </w:p>
    <w:p w14:paraId="16BD6125">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（四）《江门市市级储备粮管理办法》（江府〔2023〕9号）</w:t>
      </w:r>
    </w:p>
    <w:bookmarkEnd w:id="2"/>
    <w:p w14:paraId="599C186B">
      <w:pPr>
        <w:pStyle w:val="5"/>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黑体" w:cs="Times New Roman"/>
          <w:color w:val="auto"/>
          <w:sz w:val="32"/>
          <w:szCs w:val="32"/>
        </w:rPr>
      </w:pPr>
      <w:bookmarkStart w:id="3" w:name="三政策主要内容"/>
      <w:r>
        <w:rPr>
          <w:rFonts w:hint="default" w:ascii="Times New Roman" w:hAnsi="Times New Roman" w:eastAsia="黑体" w:cs="Times New Roman"/>
          <w:color w:val="auto"/>
          <w:sz w:val="32"/>
          <w:szCs w:val="32"/>
        </w:rPr>
        <w:t>三、政策主要内容</w:t>
      </w:r>
    </w:p>
    <w:p w14:paraId="4BCFCB0A">
      <w:pPr>
        <w:pStyle w:val="27"/>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32"/>
        </w:rPr>
        <w:t>《实施意见》立足开平市实际，对储备粮管理的核心环节进行了明确规范，主要包含以下四个方面：</w:t>
      </w:r>
    </w:p>
    <w:p w14:paraId="29B2C054">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（一）明确适用范围</w:t>
      </w:r>
    </w:p>
    <w:p w14:paraId="3A24F76F">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平市地方储备粮是指由开平市人民政府根据江门市人民政府下达给我市的粮食储备任务而储备的用于我市粮食宏观调控，稳定粮食市场以及应对重大自然灾害或其他突发公共事件等情况的粮食和食用油。同时，开平市地方储备粮的收储、销售、轮换、储存、动用及相关监督管理活动，参照《江门市市级储备粮管理办法</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相关规定执行。即：凡《江门市市级储备粮管理办法》未与上位法冲突且符合我市地方储备粮管理实际的条款，均适用于我市地方储备粮管理。</w:t>
      </w:r>
    </w:p>
    <w:p w14:paraId="1B20412F">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（二）细化贷款利息拨付标准</w:t>
      </w:r>
    </w:p>
    <w:p w14:paraId="6FA8DD84">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针对《江门市市级储备粮管理办法》中“贷款利息据实拨付”的规定，开平市实行分类管理：静态储备粮贷款利息实行据实拨付；自主轮换储备粮贷款利息补贴，则按照开平市政府批准的标准执行。</w:t>
      </w:r>
    </w:p>
    <w:p w14:paraId="42D0378C">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（三）规范承储企业利润分配</w:t>
      </w:r>
    </w:p>
    <w:p w14:paraId="35601638">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60A26"/>
          <w:spacing w:val="0"/>
          <w:kern w:val="0"/>
          <w:sz w:val="32"/>
          <w:szCs w:val="32"/>
          <w:shd w:val="clear" w:color="auto" w:fill="FFFFFF"/>
          <w:lang w:val="en-US" w:eastAsia="zh-CN" w:bidi="ar"/>
        </w:rPr>
        <w:t>《江门市市级储备粮管理办法》</w:t>
      </w:r>
      <w:r>
        <w:rPr>
          <w:rFonts w:hint="default" w:ascii="Times New Roman" w:hAnsi="Times New Roman" w:eastAsia="仿宋_GB2312" w:cs="Times New Roman"/>
          <w:sz w:val="32"/>
          <w:szCs w:val="32"/>
        </w:rPr>
        <w:t>规定承储企业税后利润需按特定比例</w:t>
      </w:r>
      <w:r>
        <w:rPr>
          <w:rFonts w:hint="default" w:ascii="Times New Roman" w:hAnsi="Times New Roman" w:eastAsia="仿宋_GB2312" w:cs="Times New Roman"/>
          <w:sz w:val="32"/>
          <w:szCs w:val="32"/>
          <w:lang w:eastAsia="zh-CN"/>
        </w:rPr>
        <w:t>上缴</w:t>
      </w:r>
      <w:r>
        <w:rPr>
          <w:rFonts w:hint="default" w:ascii="Times New Roman" w:hAnsi="Times New Roman" w:eastAsia="仿宋_GB2312" w:cs="Times New Roman"/>
          <w:sz w:val="32"/>
          <w:szCs w:val="32"/>
        </w:rPr>
        <w:t>预算及发放奖金。结合开平实际，该条款不予参照执行，开平市地方储备粮承储企业的税后利润分配，统一按照开平市市属国有企业的有关规定执行。</w:t>
      </w:r>
    </w:p>
    <w:p w14:paraId="24DE096B">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（四）调整自主轮换入库成本确定方式</w:t>
      </w:r>
    </w:p>
    <w:p w14:paraId="5332A54A">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明确自主轮换的地方储备粮入库成本，按照每次轮换入库的实际交易价格确定，以更贴合市场实际。</w:t>
      </w:r>
    </w:p>
    <w:bookmarkEnd w:id="3"/>
    <w:p w14:paraId="5E99B572">
      <w:pPr>
        <w:pStyle w:val="5"/>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黑体" w:cs="Times New Roman"/>
          <w:color w:val="auto"/>
          <w:sz w:val="32"/>
          <w:szCs w:val="32"/>
        </w:rPr>
      </w:pPr>
      <w:bookmarkStart w:id="4" w:name="五重点解读"/>
      <w:r>
        <w:rPr>
          <w:rFonts w:hint="default" w:ascii="Times New Roman" w:hAnsi="Times New Roman" w:eastAsia="黑体" w:cs="Times New Roman"/>
          <w:color w:val="auto"/>
          <w:sz w:val="32"/>
          <w:szCs w:val="32"/>
          <w:lang w:val="en-US" w:eastAsia="zh-CN"/>
        </w:rPr>
        <w:t>四</w:t>
      </w:r>
      <w:r>
        <w:rPr>
          <w:rFonts w:hint="default" w:ascii="Times New Roman" w:hAnsi="Times New Roman" w:eastAsia="黑体" w:cs="Times New Roman"/>
          <w:color w:val="auto"/>
          <w:sz w:val="32"/>
          <w:szCs w:val="32"/>
        </w:rPr>
        <w:t>、重点解读</w:t>
      </w:r>
    </w:p>
    <w:p w14:paraId="2B18E607">
      <w:pPr>
        <w:pStyle w:val="6"/>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color w:val="auto"/>
          <w:sz w:val="32"/>
          <w:szCs w:val="32"/>
        </w:rPr>
      </w:pPr>
      <w:bookmarkStart w:id="5" w:name="坚持参照执行的总体原则"/>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坚持“参照执行”的总体原则</w:t>
      </w:r>
    </w:p>
    <w:p w14:paraId="1C1AC7BE">
      <w:pPr>
        <w:pStyle w:val="27"/>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《实施意见》确立了“凡</w:t>
      </w:r>
      <w:r>
        <w:rPr>
          <w:rFonts w:hint="default" w:ascii="Times New Roman" w:hAnsi="Times New Roman" w:eastAsia="仿宋_GB2312" w:cs="Times New Roman"/>
          <w:sz w:val="32"/>
          <w:szCs w:val="32"/>
          <w:lang w:eastAsia="zh-CN"/>
        </w:rPr>
        <w:t>《江门市市级储备粮管理办法》</w:t>
      </w:r>
      <w:r>
        <w:rPr>
          <w:rFonts w:hint="default" w:ascii="Times New Roman" w:hAnsi="Times New Roman" w:eastAsia="仿宋_GB2312" w:cs="Times New Roman"/>
          <w:sz w:val="32"/>
          <w:szCs w:val="32"/>
        </w:rPr>
        <w:t>未与上位法冲突且符合我市地方储备粮管理实际的条款，均适用于我市”的总体原则。这既保证了开平市</w:t>
      </w:r>
      <w:r>
        <w:rPr>
          <w:rFonts w:hint="default" w:ascii="Times New Roman" w:hAnsi="Times New Roman" w:eastAsia="仿宋_GB2312" w:cs="Times New Roman"/>
          <w:sz w:val="32"/>
          <w:szCs w:val="32"/>
          <w:lang w:val="en-US" w:eastAsia="zh-CN"/>
        </w:rPr>
        <w:t>与江门市</w:t>
      </w:r>
      <w:r>
        <w:rPr>
          <w:rFonts w:hint="default" w:ascii="Times New Roman" w:hAnsi="Times New Roman" w:eastAsia="仿宋_GB2312" w:cs="Times New Roman"/>
          <w:sz w:val="32"/>
          <w:szCs w:val="32"/>
        </w:rPr>
        <w:t>在储备粮管理制度上的高度统一，又为开平市因地制宜解决实际问题留出了政策空间。</w:t>
      </w:r>
    </w:p>
    <w:bookmarkEnd w:id="5"/>
    <w:p w14:paraId="519F2646">
      <w:pPr>
        <w:pStyle w:val="6"/>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color w:val="auto"/>
          <w:sz w:val="32"/>
          <w:szCs w:val="32"/>
          <w:lang w:val="en-US" w:eastAsia="zh-CN"/>
        </w:rPr>
      </w:pPr>
      <w:bookmarkStart w:id="6" w:name="三条不参照执行的现实考量"/>
      <w:r>
        <w:rPr>
          <w:rFonts w:hint="default" w:ascii="Times New Roman" w:hAnsi="Times New Roman" w:eastAsia="楷体_GB2312" w:cs="Times New Roman"/>
          <w:color w:val="auto"/>
          <w:sz w:val="32"/>
          <w:szCs w:val="32"/>
          <w:lang w:val="en-US" w:eastAsia="zh-CN"/>
        </w:rPr>
        <w:t>（二）三条“不参照执行”的现实考量</w:t>
      </w:r>
    </w:p>
    <w:p w14:paraId="73936FAE">
      <w:pPr>
        <w:pStyle w:val="27"/>
        <w:pageBreakBefore w:val="0"/>
        <w:widowControl/>
        <w:kinsoku/>
        <w:wordWrap/>
        <w:overflowPunct/>
        <w:topLinePunct w:val="0"/>
        <w:autoSpaceDE/>
        <w:autoSpaceDN/>
        <w:bidi w:val="0"/>
        <w:adjustRightInd w:val="0"/>
        <w:snapToGrid w:val="0"/>
        <w:spacing w:before="0" w:after="0" w:afterLines="0"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针对贷款利息、利润分配和入库成本三条“不参照执行”的条款，主要基于以下考量：一是开平市属国企的财务与薪酬管理体系具有独立性，需统一归口管理；二是自主轮换储备粮受市场波动影响较大，按实际交易价格确定入库成本，</w:t>
      </w:r>
      <w:r>
        <w:rPr>
          <w:rFonts w:hint="default" w:ascii="Times New Roman" w:hAnsi="Times New Roman" w:eastAsia="仿宋_GB2312" w:cs="Times New Roman"/>
          <w:sz w:val="32"/>
          <w:szCs w:val="32"/>
          <w:lang w:val="en-US" w:eastAsia="zh-CN"/>
        </w:rPr>
        <w:t>防范贷款风险</w:t>
      </w:r>
      <w:r>
        <w:rPr>
          <w:rFonts w:hint="default" w:ascii="Times New Roman" w:hAnsi="Times New Roman" w:eastAsia="仿宋_GB2312" w:cs="Times New Roman"/>
          <w:sz w:val="32"/>
          <w:szCs w:val="32"/>
        </w:rPr>
        <w:t>；三是分类设定贷款利息补贴标准，</w:t>
      </w:r>
      <w:r>
        <w:rPr>
          <w:rFonts w:hint="default" w:ascii="Times New Roman" w:hAnsi="Times New Roman" w:eastAsia="仿宋_GB2312" w:cs="Times New Roman"/>
          <w:sz w:val="32"/>
          <w:szCs w:val="32"/>
          <w:lang w:val="en-US" w:eastAsia="zh-CN"/>
        </w:rPr>
        <w:t>从而延续目前的地方储备粮贷款利息补贴标准。</w:t>
      </w:r>
      <w:bookmarkStart w:id="8" w:name="_GoBack"/>
      <w:bookmarkEnd w:id="8"/>
    </w:p>
    <w:p w14:paraId="19C393D2">
      <w:pPr>
        <w:pStyle w:val="3"/>
        <w:pageBreakBefore w:val="0"/>
        <w:widowControl/>
        <w:kinsoku/>
        <w:wordWrap/>
        <w:overflowPunct/>
        <w:topLinePunct w:val="0"/>
        <w:autoSpaceDE/>
        <w:autoSpaceDN/>
        <w:bidi w:val="0"/>
        <w:adjustRightInd w:val="0"/>
        <w:snapToGrid w:val="0"/>
        <w:spacing w:before="0" w:beforeLines="0" w:after="0" w:afterLines="0" w:line="560" w:lineRule="exact"/>
        <w:ind w:left="0" w:firstLine="640" w:firstLineChars="200"/>
        <w:textAlignment w:val="auto"/>
        <w:rPr>
          <w:rFonts w:hint="default" w:ascii="Times New Roman" w:hAnsi="Times New Roman" w:eastAsia="楷体_GB2312" w:cs="Times New Roman"/>
          <w:color w:val="auto"/>
          <w:sz w:val="32"/>
          <w:szCs w:val="32"/>
          <w:lang w:val="en-US" w:eastAsia="zh-CN" w:bidi="ar-SA"/>
        </w:rPr>
      </w:pPr>
      <w:r>
        <w:rPr>
          <w:rFonts w:hint="default" w:ascii="Times New Roman" w:hAnsi="Times New Roman" w:eastAsia="楷体_GB2312" w:cs="Times New Roman"/>
          <w:color w:val="auto"/>
          <w:sz w:val="32"/>
          <w:szCs w:val="32"/>
          <w:lang w:val="en-US" w:eastAsia="zh-CN" w:bidi="ar-SA"/>
        </w:rPr>
        <w:t>（三）关键环节要求</w:t>
      </w:r>
    </w:p>
    <w:p w14:paraId="1407E3A7">
      <w:pPr>
        <w:pStyle w:val="3"/>
        <w:keepNext w:val="0"/>
        <w:keepLines w:val="0"/>
        <w:pageBreakBefore w:val="0"/>
        <w:widowControl/>
        <w:kinsoku/>
        <w:wordWrap/>
        <w:overflowPunct/>
        <w:topLinePunct w:val="0"/>
        <w:autoSpaceDE/>
        <w:autoSpaceDN/>
        <w:bidi w:val="0"/>
        <w:adjustRightInd w:val="0"/>
        <w:snapToGrid w:val="0"/>
        <w:spacing w:before="0" w:beforeLines="0" w:after="0" w:line="560" w:lineRule="exact"/>
        <w:ind w:left="0" w:firstLine="643"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b/>
          <w:bCs/>
          <w:sz w:val="32"/>
          <w:szCs w:val="32"/>
          <w:lang w:val="en-US" w:eastAsia="zh-CN" w:bidi="ar-SA"/>
        </w:rPr>
        <w:t>1.收储与轮换。</w:t>
      </w:r>
      <w:r>
        <w:rPr>
          <w:rFonts w:hint="default" w:ascii="Times New Roman" w:hAnsi="Times New Roman" w:eastAsia="仿宋_GB2312" w:cs="Times New Roman"/>
          <w:sz w:val="32"/>
          <w:szCs w:val="32"/>
          <w:lang w:val="en-US" w:eastAsia="zh-CN" w:bidi="ar-SA"/>
        </w:rPr>
        <w:t>实行计划管理，引入第三方检验机构验收；遵循保证数量质量、稳定市场原则，月末实物库存不低于储备规模的70%。自主轮换储备粮在任何时点的实物库存数量不低于承储计划的75%（成品粮油不低于90%）。</w:t>
      </w:r>
    </w:p>
    <w:p w14:paraId="797DC388">
      <w:pPr>
        <w:pStyle w:val="3"/>
        <w:keepNext w:val="0"/>
        <w:keepLines w:val="0"/>
        <w:pageBreakBefore w:val="0"/>
        <w:widowControl/>
        <w:kinsoku/>
        <w:wordWrap/>
        <w:overflowPunct/>
        <w:topLinePunct w:val="0"/>
        <w:autoSpaceDE/>
        <w:autoSpaceDN/>
        <w:bidi w:val="0"/>
        <w:adjustRightInd w:val="0"/>
        <w:snapToGrid w:val="0"/>
        <w:spacing w:before="0" w:after="0" w:line="560" w:lineRule="exact"/>
        <w:ind w:left="0" w:firstLine="643"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b/>
          <w:bCs/>
          <w:sz w:val="32"/>
          <w:szCs w:val="32"/>
          <w:lang w:val="en-US" w:eastAsia="zh-CN" w:bidi="ar-SA"/>
        </w:rPr>
        <w:t>2.储存安全。</w:t>
      </w:r>
      <w:r>
        <w:rPr>
          <w:rFonts w:hint="default" w:ascii="Times New Roman" w:hAnsi="Times New Roman" w:eastAsia="仿宋_GB2312" w:cs="Times New Roman"/>
          <w:sz w:val="32"/>
          <w:szCs w:val="32"/>
          <w:lang w:val="en-US" w:eastAsia="zh-CN" w:bidi="ar-SA"/>
        </w:rPr>
        <w:t>实行专仓储存、专人保管、专账记载，运营与商业经营严格分离，建立健全防火防盗防洪防风安全制度。</w:t>
      </w:r>
    </w:p>
    <w:p w14:paraId="626147D9">
      <w:pPr>
        <w:pStyle w:val="3"/>
        <w:keepNext w:val="0"/>
        <w:keepLines w:val="0"/>
        <w:pageBreakBefore w:val="0"/>
        <w:widowControl/>
        <w:kinsoku/>
        <w:wordWrap/>
        <w:overflowPunct/>
        <w:topLinePunct w:val="0"/>
        <w:autoSpaceDE/>
        <w:autoSpaceDN/>
        <w:bidi w:val="0"/>
        <w:adjustRightInd w:val="0"/>
        <w:snapToGrid w:val="0"/>
        <w:spacing w:before="0" w:after="0" w:line="560" w:lineRule="exact"/>
        <w:ind w:left="0" w:firstLine="643"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b/>
          <w:bCs/>
          <w:sz w:val="32"/>
          <w:szCs w:val="32"/>
          <w:lang w:val="en-US" w:eastAsia="zh-CN" w:bidi="ar-SA"/>
        </w:rPr>
        <w:t>3.储存年限。</w:t>
      </w:r>
      <w:r>
        <w:rPr>
          <w:rFonts w:hint="default" w:ascii="Times New Roman" w:hAnsi="Times New Roman" w:eastAsia="仿宋_GB2312" w:cs="Times New Roman"/>
          <w:sz w:val="32"/>
          <w:szCs w:val="32"/>
          <w:lang w:val="en-US" w:eastAsia="zh-CN" w:bidi="ar-SA"/>
        </w:rPr>
        <w:t>在常规储存条件下，各储备品种的储存年限一般为：稻谷和玉米不超过3年，小麦不超过5年，豆类及食用油脂不超过2年，大米、面粉、食用油等成品粮油（含小包装）原则上不超过1年并应在保质期到期之前进行轮换。轮入的储备粮原则上应为当年或上一年生产的新粮。</w:t>
      </w:r>
    </w:p>
    <w:p w14:paraId="59F351A0">
      <w:pPr>
        <w:pStyle w:val="3"/>
        <w:keepNext w:val="0"/>
        <w:keepLines w:val="0"/>
        <w:pageBreakBefore w:val="0"/>
        <w:widowControl/>
        <w:kinsoku/>
        <w:wordWrap/>
        <w:overflowPunct/>
        <w:topLinePunct w:val="0"/>
        <w:autoSpaceDE/>
        <w:autoSpaceDN/>
        <w:bidi w:val="0"/>
        <w:adjustRightInd w:val="0"/>
        <w:snapToGrid w:val="0"/>
        <w:spacing w:before="0" w:after="0" w:line="560" w:lineRule="exact"/>
        <w:ind w:left="0" w:firstLine="643"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b/>
          <w:bCs/>
          <w:sz w:val="32"/>
          <w:szCs w:val="32"/>
          <w:lang w:val="en-US" w:eastAsia="zh-CN" w:bidi="ar-SA"/>
        </w:rPr>
        <w:t>4.动用与补库。</w:t>
      </w:r>
      <w:r>
        <w:rPr>
          <w:rFonts w:hint="default" w:ascii="Times New Roman" w:hAnsi="Times New Roman" w:eastAsia="仿宋_GB2312" w:cs="Times New Roman"/>
          <w:sz w:val="32"/>
          <w:szCs w:val="32"/>
          <w:lang w:val="en-US" w:eastAsia="zh-CN" w:bidi="ar-SA"/>
        </w:rPr>
        <w:t>完善监测预警与应急预案，动用方案需报市政府批准；被动用后须在12个月内完成等量补库。</w:t>
      </w:r>
    </w:p>
    <w:p w14:paraId="1C27FEAC">
      <w:pPr>
        <w:pStyle w:val="3"/>
        <w:keepNext w:val="0"/>
        <w:keepLines w:val="0"/>
        <w:pageBreakBefore w:val="0"/>
        <w:widowControl/>
        <w:kinsoku/>
        <w:wordWrap/>
        <w:overflowPunct/>
        <w:topLinePunct w:val="0"/>
        <w:autoSpaceDE/>
        <w:autoSpaceDN/>
        <w:bidi w:val="0"/>
        <w:adjustRightInd w:val="0"/>
        <w:snapToGrid w:val="0"/>
        <w:spacing w:before="0" w:after="0" w:line="560" w:lineRule="exact"/>
        <w:ind w:left="0" w:firstLine="643"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b/>
          <w:bCs/>
          <w:sz w:val="32"/>
          <w:szCs w:val="32"/>
          <w:lang w:val="en-US" w:eastAsia="zh-CN" w:bidi="ar-SA"/>
        </w:rPr>
        <w:t>5.财务与监督。</w:t>
      </w:r>
      <w:r>
        <w:rPr>
          <w:rFonts w:hint="default" w:ascii="Times New Roman" w:hAnsi="Times New Roman" w:eastAsia="仿宋_GB2312" w:cs="Times New Roman"/>
          <w:sz w:val="32"/>
          <w:szCs w:val="32"/>
          <w:lang w:val="en-US" w:eastAsia="zh-CN" w:bidi="ar-SA"/>
        </w:rPr>
        <w:t>实行贷款封闭运行管理，建立损失损耗处理制度；发改、财政、审计及贷款机构将依法依责开展全方位监督检查。</w:t>
      </w:r>
    </w:p>
    <w:bookmarkEnd w:id="4"/>
    <w:bookmarkEnd w:id="6"/>
    <w:p w14:paraId="79B3B3D4">
      <w:pPr>
        <w:pStyle w:val="5"/>
        <w:pageBreakBefore w:val="0"/>
        <w:widowControl/>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黑体" w:cs="Times New Roman"/>
          <w:color w:val="auto"/>
          <w:sz w:val="32"/>
          <w:szCs w:val="32"/>
        </w:rPr>
      </w:pPr>
      <w:bookmarkStart w:id="7" w:name="六施行时间与附则"/>
      <w:r>
        <w:rPr>
          <w:rFonts w:hint="default"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rPr>
        <w:t>、施行时间与附则</w:t>
      </w:r>
    </w:p>
    <w:p w14:paraId="1F6F4656">
      <w:pPr>
        <w:pStyle w:val="28"/>
        <w:pageBreakBefore w:val="0"/>
        <w:widowControl/>
        <w:numPr>
          <w:ilvl w:val="0"/>
          <w:numId w:val="0"/>
        </w:numPr>
        <w:tabs>
          <w:tab w:val="left" w:pos="720"/>
        </w:tabs>
        <w:kinsoku/>
        <w:wordWrap/>
        <w:overflowPunct/>
        <w:topLinePunct w:val="0"/>
        <w:autoSpaceDE/>
        <w:autoSpaceDN/>
        <w:bidi w:val="0"/>
        <w:adjustRightInd w:val="0"/>
        <w:snapToGrid w:val="0"/>
        <w:spacing w:before="0" w:after="0" w:line="560" w:lineRule="exact"/>
        <w:ind w:left="0" w:leftChars="0" w:firstLine="640" w:firstLineChars="200"/>
        <w:jc w:val="both"/>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val="en-US" w:eastAsia="zh-CN"/>
        </w:rPr>
        <w:t>（一）</w:t>
      </w:r>
      <w:r>
        <w:rPr>
          <w:rFonts w:hint="default" w:ascii="Times New Roman" w:hAnsi="Times New Roman" w:eastAsia="楷体_GB2312" w:cs="Times New Roman"/>
          <w:b w:val="0"/>
          <w:bCs w:val="0"/>
          <w:sz w:val="32"/>
          <w:szCs w:val="32"/>
        </w:rPr>
        <w:t>施行日期</w:t>
      </w:r>
    </w:p>
    <w:p w14:paraId="6C772ED9">
      <w:pPr>
        <w:pStyle w:val="28"/>
        <w:pageBreakBefore w:val="0"/>
        <w:widowControl/>
        <w:numPr>
          <w:ilvl w:val="0"/>
          <w:numId w:val="0"/>
        </w:numPr>
        <w:tabs>
          <w:tab w:val="left" w:pos="720"/>
        </w:tabs>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本《实施意见》自印发之日起正式施行。</w:t>
      </w:r>
    </w:p>
    <w:p w14:paraId="567EE56D">
      <w:pPr>
        <w:pStyle w:val="28"/>
        <w:pageBreakBefore w:val="0"/>
        <w:widowControl/>
        <w:numPr>
          <w:ilvl w:val="0"/>
          <w:numId w:val="0"/>
        </w:numPr>
        <w:tabs>
          <w:tab w:val="left" w:pos="720"/>
        </w:tabs>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（二）有效期限</w:t>
      </w:r>
    </w:p>
    <w:p w14:paraId="74F38585">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有效期至2028年2月29日。</w:t>
      </w:r>
    </w:p>
    <w:p w14:paraId="0388311E">
      <w:pPr>
        <w:pStyle w:val="28"/>
        <w:pageBreakBefore w:val="0"/>
        <w:widowControl/>
        <w:numPr>
          <w:ilvl w:val="0"/>
          <w:numId w:val="0"/>
        </w:numPr>
        <w:tabs>
          <w:tab w:val="left" w:pos="720"/>
        </w:tabs>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（三）废止文件</w:t>
      </w:r>
    </w:p>
    <w:p w14:paraId="2C022813">
      <w:pPr>
        <w:pStyle w:val="28"/>
        <w:pageBreakBefore w:val="0"/>
        <w:widowControl/>
        <w:numPr>
          <w:ilvl w:val="0"/>
          <w:numId w:val="0"/>
        </w:numPr>
        <w:tabs>
          <w:tab w:val="left" w:pos="720"/>
        </w:tabs>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《开平市人民政府办公室关于印发开平市地方储备粮油管理办法的通知》（开府办〔2021〕38号）同时废止。</w:t>
      </w:r>
    </w:p>
    <w:p w14:paraId="005C180C">
      <w:pPr>
        <w:pStyle w:val="28"/>
        <w:pageBreakBefore w:val="0"/>
        <w:widowControl/>
        <w:numPr>
          <w:ilvl w:val="0"/>
          <w:numId w:val="0"/>
        </w:numPr>
        <w:tabs>
          <w:tab w:val="left" w:pos="720"/>
        </w:tabs>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（四）解释权归属</w:t>
      </w:r>
    </w:p>
    <w:p w14:paraId="697245D9">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实施过程中的具体问题，由市发展改革局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市粮食和物资储备局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负责解释。</w:t>
      </w:r>
    </w:p>
    <w:p w14:paraId="7D6C4CFC">
      <w:pPr>
        <w:pStyle w:val="28"/>
        <w:pageBreakBefore w:val="0"/>
        <w:widowControl/>
        <w:numPr>
          <w:ilvl w:val="0"/>
          <w:numId w:val="0"/>
        </w:numPr>
        <w:tabs>
          <w:tab w:val="left" w:pos="240"/>
          <w:tab w:val="left" w:pos="480"/>
          <w:tab w:val="left" w:pos="720"/>
        </w:tabs>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（五）政策调整原则</w:t>
      </w:r>
    </w:p>
    <w:p w14:paraId="4B0BC25B">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实施期间，若上级政策有调整，按调整后政策执行；未尽事宜，依照国家、省、江门市有关规定执行。</w:t>
      </w:r>
    </w:p>
    <w:p w14:paraId="47A65043">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rPr>
      </w:pPr>
    </w:p>
    <w:p w14:paraId="34F6B260">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r>
        <w:rPr>
          <w:rFonts w:hint="default" w:ascii="Times New Roman" w:hAnsi="Times New Roman" w:eastAsia="仿宋_GB2312" w:cs="Times New Roman"/>
          <w:sz w:val="32"/>
          <w:szCs w:val="32"/>
        </w:rPr>
        <w:t>《江门市市级储备粮管理办法》政策解读</w:t>
      </w:r>
    </w:p>
    <w:p w14:paraId="4B749C97">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firstLine="640" w:firstLineChars="200"/>
        <w:jc w:val="both"/>
        <w:textAlignment w:val="auto"/>
        <w:rPr>
          <w:rFonts w:hint="eastAsia" w:ascii="仿宋_GB2312" w:hAnsi="仿宋_GB2312" w:eastAsia="仿宋_GB2312" w:cs="仿宋_GB2312"/>
          <w:sz w:val="32"/>
          <w:szCs w:val="32"/>
        </w:rPr>
      </w:pPr>
    </w:p>
    <w:p w14:paraId="176484C6">
      <w:pPr>
        <w:pStyle w:val="28"/>
        <w:pageBreakBefore w:val="0"/>
        <w:widowControl/>
        <w:numPr>
          <w:ilvl w:val="0"/>
          <w:numId w:val="0"/>
        </w:numPr>
        <w:kinsoku/>
        <w:wordWrap/>
        <w:overflowPunct/>
        <w:topLinePunct w:val="0"/>
        <w:autoSpaceDE/>
        <w:autoSpaceDN/>
        <w:bidi w:val="0"/>
        <w:adjustRightInd w:val="0"/>
        <w:snapToGrid w:val="0"/>
        <w:spacing w:before="0" w:after="0" w:line="560" w:lineRule="exact"/>
        <w:ind w:left="0" w:leftChars="0" w:firstLine="960" w:firstLineChars="300"/>
        <w:textAlignment w:val="auto"/>
        <w:rPr>
          <w:rFonts w:hint="eastAsia" w:ascii="仿宋_GB2312" w:hAnsi="仿宋_GB2312" w:eastAsia="仿宋_GB2312" w:cs="仿宋_GB2312"/>
          <w:sz w:val="32"/>
          <w:szCs w:val="32"/>
          <w:lang w:val="en-US" w:eastAsia="zh-CN"/>
        </w:rPr>
      </w:pPr>
    </w:p>
    <w:bookmarkEnd w:id="0"/>
    <w:bookmarkEnd w:id="7"/>
    <w:sectPr>
      <w:footerReference r:id="rId4" w:type="default"/>
      <w:footnotePr>
        <w:numRestart w:val="eachSect"/>
      </w:footnotePr>
      <w:pgMar w:top="2098" w:right="1474" w:bottom="1984" w:left="1587" w:header="720" w:footer="720"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egoe UI"/>
    <w:panose1 w:val="020B0004020202020204"/>
    <w:charset w:val="00"/>
    <w:family w:val="swiss"/>
    <w:pitch w:val="default"/>
    <w:sig w:usb0="00000000" w:usb1="00000000" w:usb2="00000000" w:usb3="00000000" w:csb0="0000019F" w:csb1="0000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Aptos Display">
    <w:altName w:val="Segoe UI"/>
    <w:panose1 w:val="020B0004020202020204"/>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03D63">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447EF9">
                          <w:pPr>
                            <w:pStyle w:val="1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2B447EF9">
                    <w:pPr>
                      <w:pStyle w:val="1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hdrShapeDefaults>
    <o:shapelayout v:ext="edit">
      <o:idmap v:ext="edit" data="3,4"/>
    </o:shapelayout>
  </w:hdrShapeDefaults>
  <w:footnotePr>
    <w:numRestart w:val="eachSect"/>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9411F"/>
    <w:rsid w:val="0A37225B"/>
    <w:rsid w:val="117B3EC8"/>
    <w:rsid w:val="139F6979"/>
    <w:rsid w:val="13C45141"/>
    <w:rsid w:val="1635775C"/>
    <w:rsid w:val="17AA7319"/>
    <w:rsid w:val="1C99656B"/>
    <w:rsid w:val="1D646B79"/>
    <w:rsid w:val="1F4E5D32"/>
    <w:rsid w:val="2099122F"/>
    <w:rsid w:val="20C95670"/>
    <w:rsid w:val="20F12E19"/>
    <w:rsid w:val="22E54FF2"/>
    <w:rsid w:val="25200C13"/>
    <w:rsid w:val="2F6D5D61"/>
    <w:rsid w:val="38232AA8"/>
    <w:rsid w:val="3911775D"/>
    <w:rsid w:val="395249DA"/>
    <w:rsid w:val="3995213C"/>
    <w:rsid w:val="45557AB0"/>
    <w:rsid w:val="46F26E20"/>
    <w:rsid w:val="4CB91D32"/>
    <w:rsid w:val="4DF80A94"/>
    <w:rsid w:val="51B51175"/>
    <w:rsid w:val="53FF71F8"/>
    <w:rsid w:val="586314BE"/>
    <w:rsid w:val="58C53113"/>
    <w:rsid w:val="59FD2183"/>
    <w:rsid w:val="5AF54CD9"/>
    <w:rsid w:val="5CA41DD6"/>
    <w:rsid w:val="5D2F4FC8"/>
    <w:rsid w:val="5D883BE2"/>
    <w:rsid w:val="627953AC"/>
    <w:rsid w:val="692708A5"/>
    <w:rsid w:val="74AE2B48"/>
    <w:rsid w:val="779B0E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pPr>
    <w:rPr>
      <w:rFonts w:asciiTheme="minorHAnsi" w:hAnsiTheme="minorHAnsi" w:eastAsiaTheme="minorEastAsia" w:cstheme="minorBidi"/>
      <w:sz w:val="24"/>
      <w:szCs w:val="24"/>
      <w:lang w:val="en-US" w:eastAsia="zh-CN" w:bidi="ar-SA"/>
    </w:rPr>
  </w:style>
  <w:style w:type="paragraph" w:styleId="4">
    <w:name w:val="heading 1"/>
    <w:basedOn w:val="1"/>
    <w:next w:val="3"/>
    <w:link w:val="3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5">
    <w:name w:val="heading 2"/>
    <w:basedOn w:val="1"/>
    <w:next w:val="3"/>
    <w:link w:val="3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6">
    <w:name w:val="heading 3"/>
    <w:basedOn w:val="1"/>
    <w:next w:val="3"/>
    <w:link w:val="3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7">
    <w:name w:val="heading 4"/>
    <w:basedOn w:val="1"/>
    <w:next w:val="3"/>
    <w:link w:val="3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8">
    <w:name w:val="heading 5"/>
    <w:basedOn w:val="1"/>
    <w:next w:val="3"/>
    <w:link w:val="3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9">
    <w:name w:val="heading 6"/>
    <w:basedOn w:val="1"/>
    <w:next w:val="3"/>
    <w:link w:val="4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10">
    <w:name w:val="heading 7"/>
    <w:basedOn w:val="1"/>
    <w:next w:val="3"/>
    <w:link w:val="4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11">
    <w:name w:val="heading 8"/>
    <w:basedOn w:val="1"/>
    <w:next w:val="3"/>
    <w:link w:val="4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2">
    <w:name w:val="heading 9"/>
    <w:basedOn w:val="1"/>
    <w:next w:val="3"/>
    <w:link w:val="4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22">
    <w:name w:val="Default Paragraph Font"/>
    <w:semiHidden/>
    <w:unhideWhenUsed/>
    <w:qFormat/>
    <w:uiPriority w:val="0"/>
  </w:style>
  <w:style w:type="table" w:default="1" w:styleId="21">
    <w:name w:val="Normal Table"/>
    <w:qFormat/>
    <w:uiPriority w:val="0"/>
    <w:tblPr>
      <w:tblCellMar>
        <w:top w:w="0" w:type="dxa"/>
        <w:left w:w="108" w:type="dxa"/>
        <w:bottom w:w="0" w:type="dxa"/>
        <w:right w:w="108" w:type="dxa"/>
      </w:tblCellMar>
    </w:tblPr>
  </w:style>
  <w:style w:type="paragraph" w:customStyle="1" w:styleId="2">
    <w:name w:val="Body Text First Indent1"/>
    <w:basedOn w:val="3"/>
    <w:qFormat/>
    <w:uiPriority w:val="0"/>
    <w:pPr>
      <w:ind w:firstLine="420" w:firstLineChars="100"/>
    </w:pPr>
    <w:rPr>
      <w:rFonts w:ascii="Times New Roman" w:hAnsi="Times New Roman"/>
    </w:rPr>
  </w:style>
  <w:style w:type="paragraph" w:styleId="3">
    <w:name w:val="Body Text"/>
    <w:basedOn w:val="1"/>
    <w:link w:val="25"/>
    <w:qFormat/>
    <w:uiPriority w:val="0"/>
    <w:pPr>
      <w:spacing w:before="180" w:after="180"/>
    </w:pPr>
  </w:style>
  <w:style w:type="paragraph" w:styleId="13">
    <w:name w:val="caption"/>
    <w:basedOn w:val="1"/>
    <w:qFormat/>
    <w:uiPriority w:val="0"/>
    <w:pPr>
      <w:spacing w:before="0" w:after="120"/>
    </w:pPr>
    <w:rPr>
      <w:i/>
    </w:rPr>
  </w:style>
  <w:style w:type="paragraph" w:styleId="14">
    <w:name w:val="Block Text"/>
    <w:basedOn w:val="3"/>
    <w:next w:val="3"/>
    <w:unhideWhenUsed/>
    <w:qFormat/>
    <w:uiPriority w:val="9"/>
    <w:pPr>
      <w:spacing w:before="100" w:after="100"/>
      <w:ind w:left="480" w:right="480" w:firstLine="0"/>
    </w:pPr>
  </w:style>
  <w:style w:type="paragraph" w:styleId="15">
    <w:name w:val="Date"/>
    <w:basedOn w:val="16"/>
    <w:next w:val="3"/>
    <w:qFormat/>
    <w:uiPriority w:val="0"/>
    <w:pPr>
      <w:keepNext/>
      <w:keepLines/>
    </w:pPr>
    <w:rPr>
      <w:sz w:val="24"/>
      <w:szCs w:val="24"/>
    </w:rPr>
  </w:style>
  <w:style w:type="paragraph" w:styleId="16">
    <w:name w:val="Title"/>
    <w:basedOn w:val="1"/>
    <w:next w:val="3"/>
    <w:link w:val="29"/>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Subtitle"/>
    <w:basedOn w:val="16"/>
    <w:next w:val="3"/>
    <w:link w:val="30"/>
    <w:qFormat/>
    <w:uiPriority w:val="11"/>
    <w:rPr>
      <w:rFonts w:eastAsiaTheme="majorEastAsia" w:cstheme="majorBidi"/>
      <w:spacing w:val="15"/>
      <w:sz w:val="28"/>
      <w:szCs w:val="28"/>
    </w:rPr>
  </w:style>
  <w:style w:type="paragraph" w:styleId="20">
    <w:name w:val="footnote text"/>
    <w:basedOn w:val="1"/>
    <w:unhideWhenUsed/>
    <w:qFormat/>
    <w:uiPriority w:val="9"/>
  </w:style>
  <w:style w:type="character" w:styleId="23">
    <w:name w:val="Strong"/>
    <w:basedOn w:val="22"/>
    <w:qFormat/>
    <w:uiPriority w:val="0"/>
    <w:rPr>
      <w:b/>
    </w:rPr>
  </w:style>
  <w:style w:type="character" w:styleId="24">
    <w:name w:val="Hyperlink"/>
    <w:basedOn w:val="25"/>
    <w:qFormat/>
    <w:uiPriority w:val="0"/>
    <w:rPr>
      <w:color w:val="156082" w:themeColor="accent1"/>
      <w14:textFill>
        <w14:solidFill>
          <w14:schemeClr w14:val="accent1"/>
        </w14:solidFill>
      </w14:textFill>
    </w:rPr>
  </w:style>
  <w:style w:type="character" w:customStyle="1" w:styleId="25">
    <w:name w:val="Body Text Char"/>
    <w:basedOn w:val="22"/>
    <w:link w:val="3"/>
    <w:qFormat/>
    <w:uiPriority w:val="0"/>
  </w:style>
  <w:style w:type="character" w:styleId="26">
    <w:name w:val="footnote reference"/>
    <w:basedOn w:val="25"/>
    <w:qFormat/>
    <w:uiPriority w:val="0"/>
    <w:rPr>
      <w:vertAlign w:val="superscript"/>
    </w:rPr>
  </w:style>
  <w:style w:type="paragraph" w:customStyle="1" w:styleId="27">
    <w:name w:val="First Paragraph"/>
    <w:basedOn w:val="3"/>
    <w:next w:val="3"/>
    <w:qFormat/>
    <w:uiPriority w:val="0"/>
  </w:style>
  <w:style w:type="paragraph" w:customStyle="1" w:styleId="28">
    <w:name w:val="Compact"/>
    <w:basedOn w:val="3"/>
    <w:qFormat/>
    <w:uiPriority w:val="0"/>
    <w:pPr>
      <w:spacing w:before="36" w:after="36"/>
    </w:pPr>
  </w:style>
  <w:style w:type="character" w:customStyle="1" w:styleId="29">
    <w:name w:val="Title Char"/>
    <w:basedOn w:val="22"/>
    <w:link w:val="16"/>
    <w:qFormat/>
    <w:uiPriority w:val="10"/>
    <w:rPr>
      <w:rFonts w:asciiTheme="majorHAnsi" w:hAnsiTheme="majorHAnsi" w:eastAsiaTheme="majorEastAsia" w:cstheme="majorBidi"/>
      <w:sz w:val="56"/>
      <w:szCs w:val="56"/>
    </w:rPr>
  </w:style>
  <w:style w:type="character" w:customStyle="1" w:styleId="30">
    <w:name w:val="Subtitle Char"/>
    <w:basedOn w:val="22"/>
    <w:link w:val="1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31">
    <w:name w:val="Author"/>
    <w:basedOn w:val="16"/>
    <w:next w:val="3"/>
    <w:qFormat/>
    <w:uiPriority w:val="0"/>
    <w:pPr>
      <w:keepNext/>
      <w:keepLines/>
    </w:pPr>
    <w:rPr>
      <w:sz w:val="24"/>
      <w:szCs w:val="24"/>
    </w:rPr>
  </w:style>
  <w:style w:type="paragraph" w:customStyle="1" w:styleId="32">
    <w:name w:val="Abstract Title"/>
    <w:basedOn w:val="1"/>
    <w:next w:val="33"/>
    <w:qFormat/>
    <w:uiPriority w:val="0"/>
    <w:pPr>
      <w:keepNext/>
      <w:keepLines/>
      <w:spacing w:before="300" w:after="0"/>
      <w:jc w:val="center"/>
    </w:pPr>
    <w:rPr>
      <w:b/>
      <w:sz w:val="20"/>
      <w:szCs w:val="20"/>
    </w:rPr>
  </w:style>
  <w:style w:type="paragraph" w:customStyle="1" w:styleId="33">
    <w:name w:val="Abstract"/>
    <w:basedOn w:val="1"/>
    <w:next w:val="3"/>
    <w:qFormat/>
    <w:uiPriority w:val="0"/>
    <w:pPr>
      <w:keepNext/>
      <w:keepLines/>
      <w:spacing w:before="100" w:after="300"/>
    </w:pPr>
    <w:rPr>
      <w:sz w:val="20"/>
      <w:szCs w:val="20"/>
    </w:rPr>
  </w:style>
  <w:style w:type="paragraph" w:customStyle="1" w:styleId="34">
    <w:name w:val="Bibliography"/>
    <w:basedOn w:val="1"/>
    <w:qFormat/>
    <w:uiPriority w:val="0"/>
  </w:style>
  <w:style w:type="character" w:customStyle="1" w:styleId="35">
    <w:name w:val="Heading 1 Char"/>
    <w:basedOn w:val="22"/>
    <w:link w:val="4"/>
    <w:qFormat/>
    <w:uiPriority w:val="9"/>
    <w:rPr>
      <w:rFonts w:asciiTheme="majorHAnsi" w:hAnsiTheme="majorHAnsi" w:eastAsiaTheme="majorEastAsia" w:cstheme="majorBidi"/>
      <w:color w:val="104862" w:themeColor="accent1" w:themeShade="BF"/>
      <w:sz w:val="40"/>
      <w:szCs w:val="40"/>
    </w:rPr>
  </w:style>
  <w:style w:type="character" w:customStyle="1" w:styleId="36">
    <w:name w:val="Heading 2 Char"/>
    <w:basedOn w:val="22"/>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37">
    <w:name w:val="Heading 3 Char"/>
    <w:basedOn w:val="22"/>
    <w:link w:val="6"/>
    <w:semiHidden/>
    <w:qFormat/>
    <w:uiPriority w:val="9"/>
    <w:rPr>
      <w:rFonts w:eastAsiaTheme="majorEastAsia" w:cstheme="majorBidi"/>
      <w:color w:val="104862" w:themeColor="accent1" w:themeShade="BF"/>
      <w:sz w:val="28"/>
      <w:szCs w:val="28"/>
    </w:rPr>
  </w:style>
  <w:style w:type="character" w:customStyle="1" w:styleId="38">
    <w:name w:val="Heading 4 Char"/>
    <w:basedOn w:val="22"/>
    <w:link w:val="7"/>
    <w:semiHidden/>
    <w:qFormat/>
    <w:uiPriority w:val="9"/>
    <w:rPr>
      <w:rFonts w:eastAsiaTheme="majorEastAsia" w:cstheme="majorBidi"/>
      <w:i/>
      <w:iCs/>
      <w:color w:val="104862" w:themeColor="accent1" w:themeShade="BF"/>
    </w:rPr>
  </w:style>
  <w:style w:type="character" w:customStyle="1" w:styleId="39">
    <w:name w:val="Heading 5 Char"/>
    <w:basedOn w:val="22"/>
    <w:link w:val="8"/>
    <w:semiHidden/>
    <w:qFormat/>
    <w:uiPriority w:val="9"/>
    <w:rPr>
      <w:rFonts w:eastAsiaTheme="majorEastAsia" w:cstheme="majorBidi"/>
      <w:color w:val="104862" w:themeColor="accent1" w:themeShade="BF"/>
    </w:rPr>
  </w:style>
  <w:style w:type="character" w:customStyle="1" w:styleId="40">
    <w:name w:val="Heading 6 Char"/>
    <w:basedOn w:val="22"/>
    <w:link w:val="9"/>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41">
    <w:name w:val="Heading 7 Char"/>
    <w:basedOn w:val="22"/>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2">
    <w:name w:val="Heading 8 Char"/>
    <w:basedOn w:val="22"/>
    <w:link w:val="11"/>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43">
    <w:name w:val="Heading 9 Char"/>
    <w:basedOn w:val="22"/>
    <w:link w:val="12"/>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paragraph" w:customStyle="1" w:styleId="44">
    <w:name w:val="Footnote Block Text"/>
    <w:basedOn w:val="20"/>
    <w:next w:val="20"/>
    <w:unhideWhenUsed/>
    <w:qFormat/>
    <w:uiPriority w:val="9"/>
    <w:pPr>
      <w:spacing w:before="100" w:after="100"/>
      <w:ind w:left="480" w:right="480" w:firstLine="0"/>
    </w:pPr>
  </w:style>
  <w:style w:type="table" w:customStyle="1" w:styleId="45">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6">
    <w:name w:val="Definition Term"/>
    <w:basedOn w:val="1"/>
    <w:next w:val="47"/>
    <w:qFormat/>
    <w:uiPriority w:val="0"/>
    <w:pPr>
      <w:keepNext/>
      <w:keepLines/>
      <w:spacing w:after="0"/>
    </w:pPr>
    <w:rPr>
      <w:b/>
    </w:rPr>
  </w:style>
  <w:style w:type="paragraph" w:customStyle="1" w:styleId="47">
    <w:name w:val="Definition"/>
    <w:basedOn w:val="1"/>
    <w:qFormat/>
    <w:uiPriority w:val="0"/>
  </w:style>
  <w:style w:type="paragraph" w:customStyle="1" w:styleId="48">
    <w:name w:val="Table Caption"/>
    <w:basedOn w:val="13"/>
    <w:qFormat/>
    <w:uiPriority w:val="0"/>
    <w:pPr>
      <w:keepNext/>
    </w:pPr>
  </w:style>
  <w:style w:type="paragraph" w:customStyle="1" w:styleId="49">
    <w:name w:val="Image Caption"/>
    <w:basedOn w:val="13"/>
    <w:qFormat/>
    <w:uiPriority w:val="0"/>
  </w:style>
  <w:style w:type="paragraph" w:customStyle="1" w:styleId="50">
    <w:name w:val="Figure"/>
    <w:basedOn w:val="1"/>
    <w:qFormat/>
    <w:uiPriority w:val="0"/>
  </w:style>
  <w:style w:type="paragraph" w:customStyle="1" w:styleId="51">
    <w:name w:val="Captioned Figure"/>
    <w:basedOn w:val="50"/>
    <w:qFormat/>
    <w:uiPriority w:val="0"/>
    <w:pPr>
      <w:keepNext/>
    </w:pPr>
  </w:style>
  <w:style w:type="character" w:customStyle="1" w:styleId="52">
    <w:name w:val="Verbatim Char"/>
    <w:basedOn w:val="25"/>
    <w:link w:val="53"/>
    <w:qFormat/>
    <w:uiPriority w:val="0"/>
    <w:rPr>
      <w:rFonts w:ascii="Consolas" w:hAnsi="Consolas"/>
      <w:sz w:val="22"/>
    </w:rPr>
  </w:style>
  <w:style w:type="paragraph" w:customStyle="1" w:styleId="53">
    <w:name w:val="Source Code"/>
    <w:basedOn w:val="1"/>
    <w:link w:val="52"/>
    <w:qFormat/>
    <w:uiPriority w:val="0"/>
    <w:pPr>
      <w:wordWrap w:val="0"/>
    </w:pPr>
  </w:style>
  <w:style w:type="character" w:customStyle="1" w:styleId="54">
    <w:name w:val="Section Number"/>
    <w:basedOn w:val="25"/>
    <w:qFormat/>
    <w:uiPriority w:val="0"/>
  </w:style>
  <w:style w:type="paragraph" w:customStyle="1" w:styleId="55">
    <w:name w:val="TOC Heading"/>
    <w:basedOn w:val="4"/>
    <w:next w:val="3"/>
    <w:unhideWhenUsed/>
    <w:qFormat/>
    <w:uiPriority w:val="39"/>
    <w:pPr>
      <w:spacing w:before="240" w:line="259" w:lineRule="auto"/>
      <w:outlineLvl w:val="9"/>
    </w:pPr>
    <w:rPr>
      <w:rFonts w:asciiTheme="majorHAnsi" w:hAnsiTheme="majorHAnsi" w:eastAsiaTheme="majorEastAsia" w:cstheme="majorBidi"/>
      <w:color w:val="104862" w:themeColor="accent1" w:themeShade="BF"/>
    </w:rPr>
  </w:style>
  <w:style w:type="character" w:customStyle="1" w:styleId="56">
    <w:name w:val="KeywordTok"/>
    <w:basedOn w:val="52"/>
    <w:qFormat/>
    <w:uiPriority w:val="0"/>
    <w:rPr>
      <w:b/>
      <w:color w:val="007020"/>
    </w:rPr>
  </w:style>
  <w:style w:type="character" w:customStyle="1" w:styleId="57">
    <w:name w:val="DataTypeTok"/>
    <w:basedOn w:val="52"/>
    <w:qFormat/>
    <w:uiPriority w:val="0"/>
    <w:rPr>
      <w:color w:val="902000"/>
    </w:rPr>
  </w:style>
  <w:style w:type="character" w:customStyle="1" w:styleId="58">
    <w:name w:val="DecValTok"/>
    <w:basedOn w:val="52"/>
    <w:qFormat/>
    <w:uiPriority w:val="0"/>
    <w:rPr>
      <w:color w:val="40A070"/>
    </w:rPr>
  </w:style>
  <w:style w:type="character" w:customStyle="1" w:styleId="59">
    <w:name w:val="BaseNTok"/>
    <w:basedOn w:val="52"/>
    <w:qFormat/>
    <w:uiPriority w:val="0"/>
    <w:rPr>
      <w:color w:val="40A070"/>
    </w:rPr>
  </w:style>
  <w:style w:type="character" w:customStyle="1" w:styleId="60">
    <w:name w:val="FloatTok"/>
    <w:basedOn w:val="52"/>
    <w:qFormat/>
    <w:uiPriority w:val="0"/>
    <w:rPr>
      <w:color w:val="40A070"/>
    </w:rPr>
  </w:style>
  <w:style w:type="character" w:customStyle="1" w:styleId="61">
    <w:name w:val="ConstantTok"/>
    <w:basedOn w:val="52"/>
    <w:qFormat/>
    <w:uiPriority w:val="0"/>
    <w:rPr>
      <w:color w:val="880000"/>
    </w:rPr>
  </w:style>
  <w:style w:type="character" w:customStyle="1" w:styleId="62">
    <w:name w:val="CharTok"/>
    <w:basedOn w:val="52"/>
    <w:qFormat/>
    <w:uiPriority w:val="0"/>
    <w:rPr>
      <w:color w:val="4070A0"/>
    </w:rPr>
  </w:style>
  <w:style w:type="character" w:customStyle="1" w:styleId="63">
    <w:name w:val="SpecialCharTok"/>
    <w:basedOn w:val="52"/>
    <w:qFormat/>
    <w:uiPriority w:val="0"/>
    <w:rPr>
      <w:color w:val="4070A0"/>
    </w:rPr>
  </w:style>
  <w:style w:type="character" w:customStyle="1" w:styleId="64">
    <w:name w:val="StringTok"/>
    <w:basedOn w:val="52"/>
    <w:qFormat/>
    <w:uiPriority w:val="0"/>
    <w:rPr>
      <w:color w:val="4070A0"/>
    </w:rPr>
  </w:style>
  <w:style w:type="character" w:customStyle="1" w:styleId="65">
    <w:name w:val="VerbatimStringTok"/>
    <w:basedOn w:val="52"/>
    <w:qFormat/>
    <w:uiPriority w:val="0"/>
    <w:rPr>
      <w:color w:val="4070A0"/>
    </w:rPr>
  </w:style>
  <w:style w:type="character" w:customStyle="1" w:styleId="66">
    <w:name w:val="SpecialStringTok"/>
    <w:basedOn w:val="52"/>
    <w:qFormat/>
    <w:uiPriority w:val="0"/>
    <w:rPr>
      <w:color w:val="BB6688"/>
    </w:rPr>
  </w:style>
  <w:style w:type="character" w:customStyle="1" w:styleId="67">
    <w:name w:val="ImportTok"/>
    <w:basedOn w:val="52"/>
    <w:qFormat/>
    <w:uiPriority w:val="0"/>
    <w:rPr>
      <w:b/>
      <w:color w:val="008000"/>
    </w:rPr>
  </w:style>
  <w:style w:type="character" w:customStyle="1" w:styleId="68">
    <w:name w:val="CommentTok"/>
    <w:basedOn w:val="52"/>
    <w:qFormat/>
    <w:uiPriority w:val="0"/>
    <w:rPr>
      <w:i/>
      <w:color w:val="60A0B0"/>
    </w:rPr>
  </w:style>
  <w:style w:type="character" w:customStyle="1" w:styleId="69">
    <w:name w:val="DocumentationTok"/>
    <w:basedOn w:val="52"/>
    <w:qFormat/>
    <w:uiPriority w:val="0"/>
    <w:rPr>
      <w:i/>
      <w:color w:val="BA2121"/>
    </w:rPr>
  </w:style>
  <w:style w:type="character" w:customStyle="1" w:styleId="70">
    <w:name w:val="AnnotationTok"/>
    <w:basedOn w:val="52"/>
    <w:qFormat/>
    <w:uiPriority w:val="0"/>
    <w:rPr>
      <w:b/>
      <w:i/>
      <w:color w:val="60A0B0"/>
    </w:rPr>
  </w:style>
  <w:style w:type="character" w:customStyle="1" w:styleId="71">
    <w:name w:val="CommentVarTok"/>
    <w:basedOn w:val="52"/>
    <w:qFormat/>
    <w:uiPriority w:val="0"/>
    <w:rPr>
      <w:b/>
      <w:i/>
      <w:color w:val="60A0B0"/>
    </w:rPr>
  </w:style>
  <w:style w:type="character" w:customStyle="1" w:styleId="72">
    <w:name w:val="OtherTok"/>
    <w:basedOn w:val="52"/>
    <w:qFormat/>
    <w:uiPriority w:val="0"/>
    <w:rPr>
      <w:color w:val="007020"/>
    </w:rPr>
  </w:style>
  <w:style w:type="character" w:customStyle="1" w:styleId="73">
    <w:name w:val="FunctionTok"/>
    <w:basedOn w:val="52"/>
    <w:qFormat/>
    <w:uiPriority w:val="0"/>
    <w:rPr>
      <w:color w:val="06287E"/>
    </w:rPr>
  </w:style>
  <w:style w:type="character" w:customStyle="1" w:styleId="74">
    <w:name w:val="VariableTok"/>
    <w:basedOn w:val="52"/>
    <w:qFormat/>
    <w:uiPriority w:val="0"/>
    <w:rPr>
      <w:color w:val="19177C"/>
    </w:rPr>
  </w:style>
  <w:style w:type="character" w:customStyle="1" w:styleId="75">
    <w:name w:val="ControlFlowTok"/>
    <w:basedOn w:val="52"/>
    <w:qFormat/>
    <w:uiPriority w:val="0"/>
    <w:rPr>
      <w:b/>
      <w:color w:val="007020"/>
    </w:rPr>
  </w:style>
  <w:style w:type="character" w:customStyle="1" w:styleId="76">
    <w:name w:val="OperatorTok"/>
    <w:basedOn w:val="52"/>
    <w:qFormat/>
    <w:uiPriority w:val="0"/>
    <w:rPr>
      <w:color w:val="666666"/>
    </w:rPr>
  </w:style>
  <w:style w:type="character" w:customStyle="1" w:styleId="77">
    <w:name w:val="BuiltInTok"/>
    <w:basedOn w:val="52"/>
    <w:qFormat/>
    <w:uiPriority w:val="0"/>
    <w:rPr>
      <w:color w:val="008000"/>
    </w:rPr>
  </w:style>
  <w:style w:type="character" w:customStyle="1" w:styleId="78">
    <w:name w:val="ExtensionTok"/>
    <w:basedOn w:val="52"/>
    <w:qFormat/>
    <w:uiPriority w:val="0"/>
  </w:style>
  <w:style w:type="character" w:customStyle="1" w:styleId="79">
    <w:name w:val="PreprocessorTok"/>
    <w:basedOn w:val="52"/>
    <w:qFormat/>
    <w:uiPriority w:val="0"/>
    <w:rPr>
      <w:color w:val="BC7A00"/>
    </w:rPr>
  </w:style>
  <w:style w:type="character" w:customStyle="1" w:styleId="80">
    <w:name w:val="AttributeTok"/>
    <w:basedOn w:val="52"/>
    <w:qFormat/>
    <w:uiPriority w:val="0"/>
    <w:rPr>
      <w:color w:val="7D9029"/>
    </w:rPr>
  </w:style>
  <w:style w:type="character" w:customStyle="1" w:styleId="81">
    <w:name w:val="RegionMarkerTok"/>
    <w:basedOn w:val="52"/>
    <w:qFormat/>
    <w:uiPriority w:val="0"/>
  </w:style>
  <w:style w:type="character" w:customStyle="1" w:styleId="82">
    <w:name w:val="InformationTok"/>
    <w:basedOn w:val="52"/>
    <w:qFormat/>
    <w:uiPriority w:val="0"/>
    <w:rPr>
      <w:b/>
      <w:i/>
      <w:color w:val="60A0B0"/>
    </w:rPr>
  </w:style>
  <w:style w:type="character" w:customStyle="1" w:styleId="83">
    <w:name w:val="WarningTok"/>
    <w:basedOn w:val="52"/>
    <w:qFormat/>
    <w:uiPriority w:val="0"/>
    <w:rPr>
      <w:b/>
      <w:i/>
      <w:color w:val="60A0B0"/>
    </w:rPr>
  </w:style>
  <w:style w:type="character" w:customStyle="1" w:styleId="84">
    <w:name w:val="AlertTok"/>
    <w:basedOn w:val="52"/>
    <w:qFormat/>
    <w:uiPriority w:val="0"/>
    <w:rPr>
      <w:b/>
      <w:color w:val="FF0000"/>
    </w:rPr>
  </w:style>
  <w:style w:type="character" w:customStyle="1" w:styleId="85">
    <w:name w:val="ErrorTok"/>
    <w:basedOn w:val="52"/>
    <w:qFormat/>
    <w:uiPriority w:val="0"/>
    <w:rPr>
      <w:b/>
      <w:color w:val="FF0000"/>
    </w:rPr>
  </w:style>
  <w:style w:type="character" w:customStyle="1" w:styleId="86">
    <w:name w:val="NormalTok"/>
    <w:basedOn w:val="52"/>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9f1e0088-430f-4d07-b2f5-c301fb252dd7</errorID>
      <errorWord>原办法</errorWord>
      <group>L1_Punc</group>
      <groupName>标点问题</groupName>
      <ability>L2_Punc_CN</ability>
      <abilityName>标点符号问题</abilityName>
      <candidateList>
        <item>《原办法》</item>
      </candidateList>
      <explain/>
      <paraID> 80DC869</paraID>
      <start>0</start>
      <end>5</end>
      <status>modified</status>
      <modifiedWord>《原办法》</modifiedWord>
      <trackRevisions>false</trackRevisions>
    </reviewItem>
    <reviewItem>
      <errorID>c7df7905-603f-4f30-a8a7-5bd26a1bec12</errorID>
      <errorWord>通过明确</errorWord>
      <group>L1_Grammar</group>
      <groupName>语法问题</groupName>
      <ability>L2_Grammar</ability>
      <abilityName>语法错误</abilityName>
      <candidateList>
        <item>明确</item>
      </candidateList>
      <explain/>
      <paraID>71258498</paraID>
      <start>156</start>
      <end>160</end>
      <status>ignored</status>
      <modifiedWord/>
      <trackRevisions>false</trackRevisions>
    </reviewItem>
    <reviewItem>
      <errorID>ab58deb1-f75f-4b60-8dfd-5542d9ec422b</errorID>
      <errorWord>29</errorWord>
      <group>L1_Word</group>
      <groupName>字词问题</groupName>
      <ability>L2_Typo</ability>
      <abilityName>字词错误</abilityName>
      <candidateList>
        <item>28</item>
      </candidateList>
      <explain/>
      <paraID>74F38585</paraID>
      <start>11</start>
      <end>13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b32050-897f-437d-882b-a45b59cc4993}">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2172</Words>
  <Characters>2213</Characters>
  <Lines>12</Lines>
  <Paragraphs>8</Paragraphs>
  <TotalTime>41</TotalTime>
  <ScaleCrop>false</ScaleCrop>
  <LinksUpToDate>false</LinksUpToDate>
  <CharactersWithSpaces>2213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2026-08-21T06:51:00Z</dcterms:created>
  <dc:creator>小舟</dc:creator>
  <cp:lastModifiedBy>小舟</cp:lastModifiedBy>
  <dcterms:modified xsi:type="dcterms:W3CDTF">2026-09-14T07:25:23Z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eyJoZGlkIjoiMTQ1ZmY5NTg4ZDY4MTA2OGE0OTEwMjM5NGI2YzhkZmQiLCJ1c2VySWQiOiIzOTg5NTk4NTUifQ==</vt:lpwstr>
  </property>
  <property fmtid="{D5CDD505-2E9C-101B-9397-08002B2CF9AE}" pid="3" name="KSOProductBuildVer">
    <vt:lpwstr>2052-12.1.0.28505</vt:lpwstr>
  </property>
  <property fmtid="{D5CDD505-2E9C-101B-9397-08002B2CF9AE}" pid="4" name="ICV">
    <vt:lpwstr>7B5C0B15F55749FAAFC8491D24CC8BB1_13</vt:lpwstr>
  </property>
</Properties>
</file>