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B198DB">
      <w:pPr>
        <w:pStyle w:val="29"/>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textAlignment w:val="auto"/>
        <w:rPr>
          <w:rFonts w:hint="default" w:ascii="Times New Roman" w:hAnsi="Times New Roman" w:eastAsia="黑体" w:cs="Times New Roman"/>
          <w:color w:val="auto"/>
          <w:sz w:val="32"/>
          <w:szCs w:val="32"/>
          <w:lang w:val="en-US" w:eastAsia="zh-CN"/>
        </w:rPr>
      </w:pPr>
      <w:bookmarkStart w:id="0" w:name="开平市贯彻江门市市级储备粮管理办法的实施意见政策解读"/>
      <w:bookmarkStart w:id="1" w:name="六施行时间与附则"/>
      <w:r>
        <w:rPr>
          <w:rFonts w:hint="default" w:ascii="Times New Roman" w:hAnsi="Times New Roman" w:eastAsia="黑体" w:cs="Times New Roman"/>
          <w:color w:val="auto"/>
          <w:sz w:val="32"/>
          <w:szCs w:val="32"/>
          <w:lang w:val="en-US" w:eastAsia="zh-CN"/>
        </w:rPr>
        <w:t>附件：</w:t>
      </w:r>
    </w:p>
    <w:p w14:paraId="4A70D4E7">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Style w:val="24"/>
          <w:rFonts w:hint="default" w:ascii="Times New Roman" w:hAnsi="Times New Roman" w:eastAsia="方正小标宋简体" w:cs="Times New Roman"/>
          <w:i w:val="0"/>
          <w:iCs w:val="0"/>
          <w:caps w:val="0"/>
          <w:color w:val="auto"/>
          <w:spacing w:val="0"/>
          <w:sz w:val="44"/>
          <w:szCs w:val="44"/>
          <w:shd w:val="clear" w:fill="FFFFFF"/>
        </w:rPr>
      </w:pPr>
    </w:p>
    <w:p w14:paraId="0FAA6B4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700" w:lineRule="exact"/>
        <w:ind w:left="0" w:right="0" w:firstLine="0"/>
        <w:jc w:val="center"/>
        <w:textAlignment w:val="auto"/>
        <w:rPr>
          <w:rFonts w:hint="default" w:ascii="Times New Roman" w:hAnsi="Times New Roman" w:eastAsia="方正小标宋简体" w:cs="Times New Roman"/>
          <w:b w:val="0"/>
          <w:bCs/>
          <w:i w:val="0"/>
          <w:iCs w:val="0"/>
          <w:caps w:val="0"/>
          <w:color w:val="auto"/>
          <w:spacing w:val="0"/>
          <w:sz w:val="44"/>
          <w:szCs w:val="44"/>
        </w:rPr>
      </w:pPr>
      <w:bookmarkStart w:id="2" w:name="_GoBack"/>
      <w:r>
        <w:rPr>
          <w:rStyle w:val="24"/>
          <w:rFonts w:hint="default" w:ascii="Times New Roman" w:hAnsi="Times New Roman" w:eastAsia="方正小标宋简体" w:cs="Times New Roman"/>
          <w:b w:val="0"/>
          <w:bCs/>
          <w:i w:val="0"/>
          <w:iCs w:val="0"/>
          <w:caps w:val="0"/>
          <w:color w:val="auto"/>
          <w:spacing w:val="0"/>
          <w:sz w:val="44"/>
          <w:szCs w:val="44"/>
          <w:shd w:val="clear" w:fill="FFFFFF"/>
        </w:rPr>
        <w:t>《江门市市级储备粮管理办法》政策解读</w:t>
      </w:r>
      <w:bookmarkEnd w:id="2"/>
    </w:p>
    <w:p w14:paraId="20506B47">
      <w:pPr>
        <w:pStyle w:val="2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Style w:val="24"/>
          <w:rFonts w:hint="default" w:ascii="Times New Roman" w:hAnsi="Times New Roman" w:eastAsia="微软雅黑" w:cs="Times New Roman"/>
          <w:i w:val="0"/>
          <w:iCs w:val="0"/>
          <w:caps w:val="0"/>
          <w:color w:val="auto"/>
          <w:spacing w:val="0"/>
          <w:sz w:val="22"/>
          <w:szCs w:val="22"/>
          <w:shd w:val="clear" w:fill="FFFFFF"/>
        </w:rPr>
      </w:pPr>
      <w:r>
        <w:rPr>
          <w:rStyle w:val="24"/>
          <w:rFonts w:hint="default" w:ascii="Times New Roman" w:hAnsi="Times New Roman" w:eastAsia="微软雅黑" w:cs="Times New Roman"/>
          <w:i w:val="0"/>
          <w:iCs w:val="0"/>
          <w:caps w:val="0"/>
          <w:color w:val="auto"/>
          <w:spacing w:val="0"/>
          <w:sz w:val="22"/>
          <w:szCs w:val="22"/>
          <w:shd w:val="clear" w:fill="FFFFFF"/>
        </w:rPr>
        <w:t>　　</w:t>
      </w:r>
    </w:p>
    <w:p w14:paraId="4656C37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left"/>
        <w:textAlignment w:val="auto"/>
        <w:rPr>
          <w:rFonts w:hint="default" w:ascii="Times New Roman" w:hAnsi="Times New Roman" w:eastAsia="黑体" w:cs="Times New Roman"/>
          <w:b w:val="0"/>
          <w:bCs/>
          <w:i w:val="0"/>
          <w:iCs w:val="0"/>
          <w:caps w:val="0"/>
          <w:color w:val="auto"/>
          <w:spacing w:val="0"/>
          <w:sz w:val="32"/>
          <w:szCs w:val="32"/>
        </w:rPr>
      </w:pPr>
      <w:r>
        <w:rPr>
          <w:rStyle w:val="24"/>
          <w:rFonts w:hint="default" w:ascii="Times New Roman" w:hAnsi="Times New Roman" w:eastAsia="黑体" w:cs="Times New Roman"/>
          <w:b w:val="0"/>
          <w:bCs/>
          <w:i w:val="0"/>
          <w:iCs w:val="0"/>
          <w:caps w:val="0"/>
          <w:color w:val="auto"/>
          <w:spacing w:val="0"/>
          <w:sz w:val="32"/>
          <w:szCs w:val="32"/>
          <w:shd w:val="clear" w:fill="FFFFFF"/>
        </w:rPr>
        <w:t>一、制定背景</w:t>
      </w:r>
    </w:p>
    <w:p w14:paraId="400F38D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iCs w:val="0"/>
          <w:caps w:val="0"/>
          <w:color w:val="auto"/>
          <w:spacing w:val="0"/>
          <w:sz w:val="32"/>
          <w:szCs w:val="32"/>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江门市市级储备粮油管理办法》（江府〔2017〕28号，下简称原《管理办法》）实施近五年，使我市市级储备粮油管理规范、合理，有关部门和单位遵守和执行简便、易于操作，实施取得较好的社会效益和经济效益。原《管理办法》于2023年1月实施期满，加上近几年党中央、国务院出台了一系列粮食储备管理的政策措施，2019年5月中央全面深化改革委员会审议通过了《关于改革完善体制机制加强粮食储备安全管理的若干意见》，对加强粮食储备安全管理，提升粮食安全保障水平提出了新的要求;《民法典》、新修订的《行政处罚法》《粮食流通管理条例》《广东省粮食安全保障条例》《广东省省级储备粮管理办法》等法律法规陆续施行，原《管理办法》部分条文已不符合相关法律法规的要求，亟需修订;同时，国家和省粮食和物资储备部门陆续出台了储备粮仓储管理、质量等方面管理的规章制度，需要据此对原《管理办法》中的相关规定进行调整，以适应新的管理要求。在原《管理办法》的基础上，对相关条款进一步进行完善，修订《江门市市储备粮办法》（下称《管理办法》）。</w:t>
      </w:r>
    </w:p>
    <w:p w14:paraId="22072AA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default" w:ascii="Times New Roman" w:hAnsi="Times New Roman" w:eastAsia="黑体" w:cs="Times New Roman"/>
          <w:b w:val="0"/>
          <w:bCs/>
          <w:i w:val="0"/>
          <w:iCs w:val="0"/>
          <w:caps w:val="0"/>
          <w:color w:val="auto"/>
          <w:spacing w:val="0"/>
          <w:sz w:val="32"/>
          <w:szCs w:val="32"/>
          <w:shd w:val="clear" w:fill="FFFFFF"/>
        </w:rPr>
      </w:pPr>
      <w:r>
        <w:rPr>
          <w:rFonts w:hint="default" w:ascii="Times New Roman" w:hAnsi="Times New Roman" w:eastAsia="微软雅黑" w:cs="Times New Roman"/>
          <w:i w:val="0"/>
          <w:iCs w:val="0"/>
          <w:caps w:val="0"/>
          <w:color w:val="auto"/>
          <w:spacing w:val="0"/>
          <w:sz w:val="32"/>
          <w:szCs w:val="32"/>
          <w:shd w:val="clear" w:fill="FFFFFF"/>
        </w:rPr>
        <w:t>　</w:t>
      </w:r>
      <w:r>
        <w:rPr>
          <w:rStyle w:val="24"/>
          <w:rFonts w:hint="default" w:ascii="Times New Roman" w:hAnsi="Times New Roman" w:eastAsia="微软雅黑" w:cs="Times New Roman"/>
          <w:i w:val="0"/>
          <w:iCs w:val="0"/>
          <w:caps w:val="0"/>
          <w:color w:val="auto"/>
          <w:spacing w:val="0"/>
          <w:sz w:val="32"/>
          <w:szCs w:val="32"/>
          <w:shd w:val="clear" w:fill="FFFFFF"/>
        </w:rPr>
        <w:t>　</w:t>
      </w:r>
      <w:r>
        <w:rPr>
          <w:rStyle w:val="24"/>
          <w:rFonts w:hint="default" w:ascii="Times New Roman" w:hAnsi="Times New Roman" w:eastAsia="黑体" w:cs="Times New Roman"/>
          <w:b w:val="0"/>
          <w:bCs/>
          <w:i w:val="0"/>
          <w:iCs w:val="0"/>
          <w:caps w:val="0"/>
          <w:color w:val="auto"/>
          <w:spacing w:val="0"/>
          <w:sz w:val="32"/>
          <w:szCs w:val="32"/>
          <w:shd w:val="clear" w:fill="FFFFFF"/>
        </w:rPr>
        <w:t>二、《管理办法》适用范围</w:t>
      </w:r>
    </w:p>
    <w:p w14:paraId="0673BB0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iCs w:val="0"/>
          <w:caps w:val="0"/>
          <w:color w:val="auto"/>
          <w:spacing w:val="0"/>
          <w:sz w:val="32"/>
          <w:szCs w:val="32"/>
          <w:shd w:val="clear" w:fill="FFFFFF"/>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市级储备粮的收储、销售、轮换、储存、动用及相关监督管理活动，适用本办法。蓬江区、江海区储备粮管理遵照本办法执行，其他县（市、区）储备粮管理可以参照本办法执行或自行制定。</w:t>
      </w:r>
    </w:p>
    <w:p w14:paraId="6D90E00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default" w:ascii="Times New Roman" w:hAnsi="Times New Roman" w:eastAsia="黑体" w:cs="Times New Roman"/>
          <w:b w:val="0"/>
          <w:bCs/>
          <w:i w:val="0"/>
          <w:iCs w:val="0"/>
          <w:caps w:val="0"/>
          <w:color w:val="auto"/>
          <w:spacing w:val="0"/>
          <w:sz w:val="32"/>
          <w:szCs w:val="32"/>
          <w:shd w:val="clear" w:fill="FFFFFF"/>
        </w:rPr>
      </w:pPr>
      <w:r>
        <w:rPr>
          <w:rFonts w:hint="default" w:ascii="Times New Roman" w:hAnsi="Times New Roman" w:eastAsia="微软雅黑" w:cs="Times New Roman"/>
          <w:i w:val="0"/>
          <w:iCs w:val="0"/>
          <w:caps w:val="0"/>
          <w:color w:val="auto"/>
          <w:spacing w:val="0"/>
          <w:sz w:val="32"/>
          <w:szCs w:val="32"/>
          <w:shd w:val="clear" w:fill="FFFFFF"/>
        </w:rPr>
        <w:t>　　</w:t>
      </w:r>
      <w:r>
        <w:rPr>
          <w:rStyle w:val="24"/>
          <w:rFonts w:hint="default" w:ascii="Times New Roman" w:hAnsi="Times New Roman" w:eastAsia="黑体" w:cs="Times New Roman"/>
          <w:b w:val="0"/>
          <w:bCs/>
          <w:i w:val="0"/>
          <w:iCs w:val="0"/>
          <w:caps w:val="0"/>
          <w:color w:val="auto"/>
          <w:spacing w:val="0"/>
          <w:sz w:val="32"/>
          <w:szCs w:val="32"/>
          <w:shd w:val="clear" w:fill="FFFFFF"/>
        </w:rPr>
        <w:t>三、《管理办法》框架结构</w:t>
      </w:r>
    </w:p>
    <w:p w14:paraId="7E2FDFE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iCs w:val="0"/>
          <w:caps w:val="0"/>
          <w:color w:val="auto"/>
          <w:spacing w:val="0"/>
          <w:sz w:val="32"/>
          <w:szCs w:val="32"/>
          <w:shd w:val="clear" w:fill="FFFFFF"/>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《管理办法》共八章五十二条，主要包括以下内容：</w:t>
      </w:r>
    </w:p>
    <w:p w14:paraId="314A1EC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eastAsia" w:ascii="楷体_GB2312" w:hAnsi="楷体_GB2312" w:eastAsia="楷体_GB2312" w:cs="楷体_GB2312"/>
          <w:b w:val="0"/>
          <w:bCs/>
          <w:i w:val="0"/>
          <w:iCs w:val="0"/>
          <w:caps w:val="0"/>
          <w:color w:val="auto"/>
          <w:spacing w:val="0"/>
          <w:sz w:val="32"/>
          <w:szCs w:val="32"/>
          <w:shd w:val="clear" w:fill="FFFFFF"/>
        </w:rPr>
      </w:pPr>
      <w:r>
        <w:rPr>
          <w:rStyle w:val="24"/>
          <w:rFonts w:hint="default" w:ascii="Times New Roman" w:hAnsi="Times New Roman" w:eastAsia="微软雅黑" w:cs="Times New Roman"/>
          <w:i w:val="0"/>
          <w:iCs w:val="0"/>
          <w:caps w:val="0"/>
          <w:color w:val="auto"/>
          <w:spacing w:val="0"/>
          <w:sz w:val="32"/>
          <w:szCs w:val="32"/>
          <w:shd w:val="clear" w:fill="FFFFFF"/>
        </w:rPr>
        <w:t>　　</w:t>
      </w:r>
      <w:r>
        <w:rPr>
          <w:rStyle w:val="24"/>
          <w:rFonts w:hint="eastAsia" w:ascii="楷体_GB2312" w:hAnsi="楷体_GB2312" w:eastAsia="楷体_GB2312" w:cs="楷体_GB2312"/>
          <w:b w:val="0"/>
          <w:bCs/>
          <w:i w:val="0"/>
          <w:iCs w:val="0"/>
          <w:caps w:val="0"/>
          <w:color w:val="auto"/>
          <w:spacing w:val="0"/>
          <w:sz w:val="32"/>
          <w:szCs w:val="32"/>
          <w:shd w:val="clear" w:fill="FFFFFF"/>
        </w:rPr>
        <w:t>（一）第一章  总则</w:t>
      </w:r>
    </w:p>
    <w:p w14:paraId="19E0C4F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iCs w:val="0"/>
          <w:caps w:val="0"/>
          <w:color w:val="auto"/>
          <w:spacing w:val="0"/>
          <w:sz w:val="32"/>
          <w:szCs w:val="32"/>
          <w:shd w:val="clear" w:fill="FFFFFF"/>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明确了《管理办法》的制定目的、依据、适用范围和市级储备粮管理部门职责。</w:t>
      </w:r>
    </w:p>
    <w:p w14:paraId="7D8651A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default" w:ascii="楷体_GB2312" w:hAnsi="楷体_GB2312" w:eastAsia="楷体_GB2312" w:cs="楷体_GB2312"/>
          <w:b w:val="0"/>
          <w:bCs/>
          <w:i w:val="0"/>
          <w:iCs w:val="0"/>
          <w:caps w:val="0"/>
          <w:color w:val="auto"/>
          <w:spacing w:val="0"/>
          <w:sz w:val="32"/>
          <w:szCs w:val="32"/>
          <w:shd w:val="clear" w:fill="FFFFFF"/>
        </w:rPr>
      </w:pPr>
      <w:r>
        <w:rPr>
          <w:rStyle w:val="24"/>
          <w:rFonts w:hint="default" w:ascii="Times New Roman" w:hAnsi="Times New Roman" w:eastAsia="微软雅黑" w:cs="Times New Roman"/>
          <w:i w:val="0"/>
          <w:iCs w:val="0"/>
          <w:caps w:val="0"/>
          <w:color w:val="auto"/>
          <w:spacing w:val="0"/>
          <w:sz w:val="32"/>
          <w:szCs w:val="32"/>
          <w:shd w:val="clear" w:fill="FFFFFF"/>
        </w:rPr>
        <w:t>　　</w:t>
      </w:r>
      <w:r>
        <w:rPr>
          <w:rStyle w:val="24"/>
          <w:rFonts w:hint="default" w:ascii="楷体_GB2312" w:hAnsi="楷体_GB2312" w:eastAsia="楷体_GB2312" w:cs="楷体_GB2312"/>
          <w:b w:val="0"/>
          <w:bCs/>
          <w:i w:val="0"/>
          <w:iCs w:val="0"/>
          <w:caps w:val="0"/>
          <w:color w:val="auto"/>
          <w:spacing w:val="0"/>
          <w:sz w:val="32"/>
          <w:szCs w:val="32"/>
          <w:shd w:val="clear" w:fill="FFFFFF"/>
        </w:rPr>
        <w:t>（二）第二章  收储、销售和轮换</w:t>
      </w:r>
    </w:p>
    <w:p w14:paraId="2CC1CFF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iCs w:val="0"/>
          <w:caps w:val="0"/>
          <w:color w:val="auto"/>
          <w:spacing w:val="0"/>
          <w:sz w:val="32"/>
          <w:szCs w:val="32"/>
          <w:shd w:val="clear" w:fill="FFFFFF"/>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明确了市级储备粮收储、销售和轮换具体要求和操作。</w:t>
      </w:r>
    </w:p>
    <w:p w14:paraId="0549348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default" w:ascii="楷体_GB2312" w:hAnsi="楷体_GB2312" w:eastAsia="楷体_GB2312" w:cs="楷体_GB2312"/>
          <w:b w:val="0"/>
          <w:bCs/>
          <w:i w:val="0"/>
          <w:iCs w:val="0"/>
          <w:caps w:val="0"/>
          <w:color w:val="auto"/>
          <w:spacing w:val="0"/>
          <w:sz w:val="32"/>
          <w:szCs w:val="32"/>
          <w:shd w:val="clear" w:fill="FFFFFF"/>
        </w:rPr>
      </w:pPr>
      <w:r>
        <w:rPr>
          <w:rStyle w:val="24"/>
          <w:rFonts w:hint="default" w:ascii="Times New Roman" w:hAnsi="Times New Roman" w:eastAsia="微软雅黑" w:cs="Times New Roman"/>
          <w:i w:val="0"/>
          <w:iCs w:val="0"/>
          <w:caps w:val="0"/>
          <w:color w:val="auto"/>
          <w:spacing w:val="0"/>
          <w:sz w:val="32"/>
          <w:szCs w:val="32"/>
          <w:shd w:val="clear" w:fill="FFFFFF"/>
        </w:rPr>
        <w:t>　　</w:t>
      </w:r>
      <w:r>
        <w:rPr>
          <w:rStyle w:val="24"/>
          <w:rFonts w:hint="default" w:ascii="楷体_GB2312" w:hAnsi="楷体_GB2312" w:eastAsia="楷体_GB2312" w:cs="楷体_GB2312"/>
          <w:b w:val="0"/>
          <w:bCs/>
          <w:i w:val="0"/>
          <w:iCs w:val="0"/>
          <w:caps w:val="0"/>
          <w:color w:val="auto"/>
          <w:spacing w:val="0"/>
          <w:sz w:val="32"/>
          <w:szCs w:val="32"/>
          <w:shd w:val="clear" w:fill="FFFFFF"/>
        </w:rPr>
        <w:t>（三）第三章  储存</w:t>
      </w:r>
    </w:p>
    <w:p w14:paraId="3BFDA90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微软雅黑" w:cs="Times New Roman"/>
          <w:i w:val="0"/>
          <w:iCs w:val="0"/>
          <w:caps w:val="0"/>
          <w:color w:val="auto"/>
          <w:spacing w:val="0"/>
          <w:sz w:val="32"/>
          <w:szCs w:val="32"/>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明确了市级储备粮承(代)储企业、储存管理、储存仓库、储存质量、安全制度等要求。</w:t>
      </w:r>
    </w:p>
    <w:p w14:paraId="7C55670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default" w:ascii="楷体_GB2312" w:hAnsi="楷体_GB2312" w:eastAsia="楷体_GB2312" w:cs="楷体_GB2312"/>
          <w:b w:val="0"/>
          <w:bCs/>
          <w:i w:val="0"/>
          <w:iCs w:val="0"/>
          <w:caps w:val="0"/>
          <w:color w:val="auto"/>
          <w:spacing w:val="0"/>
          <w:sz w:val="32"/>
          <w:szCs w:val="32"/>
          <w:shd w:val="clear" w:fill="FFFFFF"/>
        </w:rPr>
      </w:pPr>
      <w:r>
        <w:rPr>
          <w:rStyle w:val="24"/>
          <w:rFonts w:hint="default" w:ascii="Times New Roman" w:hAnsi="Times New Roman" w:eastAsia="微软雅黑" w:cs="Times New Roman"/>
          <w:i w:val="0"/>
          <w:iCs w:val="0"/>
          <w:caps w:val="0"/>
          <w:color w:val="auto"/>
          <w:spacing w:val="0"/>
          <w:sz w:val="32"/>
          <w:szCs w:val="32"/>
          <w:shd w:val="clear" w:fill="FFFFFF"/>
        </w:rPr>
        <w:t>　　</w:t>
      </w:r>
      <w:r>
        <w:rPr>
          <w:rStyle w:val="24"/>
          <w:rFonts w:hint="default" w:ascii="楷体_GB2312" w:hAnsi="楷体_GB2312" w:eastAsia="楷体_GB2312" w:cs="楷体_GB2312"/>
          <w:b w:val="0"/>
          <w:bCs/>
          <w:i w:val="0"/>
          <w:iCs w:val="0"/>
          <w:caps w:val="0"/>
          <w:color w:val="auto"/>
          <w:spacing w:val="0"/>
          <w:sz w:val="32"/>
          <w:szCs w:val="32"/>
          <w:shd w:val="clear" w:fill="FFFFFF"/>
        </w:rPr>
        <w:t>（四）第四章  动用</w:t>
      </w:r>
    </w:p>
    <w:p w14:paraId="73D4FDC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iCs w:val="0"/>
          <w:caps w:val="0"/>
          <w:color w:val="auto"/>
          <w:spacing w:val="0"/>
          <w:sz w:val="32"/>
          <w:szCs w:val="32"/>
          <w:shd w:val="clear" w:fill="FFFFFF"/>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明确了市级储备粮动用预警、预案建设、动用等具体操作及补库要求。</w:t>
      </w:r>
    </w:p>
    <w:p w14:paraId="38B32E6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default" w:ascii="楷体_GB2312" w:hAnsi="楷体_GB2312" w:eastAsia="楷体_GB2312" w:cs="楷体_GB2312"/>
          <w:b w:val="0"/>
          <w:bCs/>
          <w:i w:val="0"/>
          <w:iCs w:val="0"/>
          <w:caps w:val="0"/>
          <w:color w:val="auto"/>
          <w:spacing w:val="0"/>
          <w:sz w:val="32"/>
          <w:szCs w:val="32"/>
          <w:shd w:val="clear" w:fill="FFFFFF"/>
        </w:rPr>
      </w:pPr>
      <w:r>
        <w:rPr>
          <w:rStyle w:val="24"/>
          <w:rFonts w:hint="default" w:ascii="Times New Roman" w:hAnsi="Times New Roman" w:eastAsia="微软雅黑" w:cs="Times New Roman"/>
          <w:i w:val="0"/>
          <w:iCs w:val="0"/>
          <w:caps w:val="0"/>
          <w:color w:val="auto"/>
          <w:spacing w:val="0"/>
          <w:sz w:val="32"/>
          <w:szCs w:val="32"/>
          <w:shd w:val="clear" w:fill="FFFFFF"/>
        </w:rPr>
        <w:t>　　</w:t>
      </w:r>
      <w:r>
        <w:rPr>
          <w:rStyle w:val="24"/>
          <w:rFonts w:hint="default" w:ascii="楷体_GB2312" w:hAnsi="楷体_GB2312" w:eastAsia="楷体_GB2312" w:cs="楷体_GB2312"/>
          <w:b w:val="0"/>
          <w:bCs/>
          <w:i w:val="0"/>
          <w:iCs w:val="0"/>
          <w:caps w:val="0"/>
          <w:color w:val="auto"/>
          <w:spacing w:val="0"/>
          <w:sz w:val="32"/>
          <w:szCs w:val="32"/>
          <w:shd w:val="clear" w:fill="FFFFFF"/>
        </w:rPr>
        <w:t>（五）第五章  财务和统计</w:t>
      </w:r>
    </w:p>
    <w:p w14:paraId="0B074AC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iCs w:val="0"/>
          <w:caps w:val="0"/>
          <w:color w:val="auto"/>
          <w:spacing w:val="0"/>
          <w:sz w:val="32"/>
          <w:szCs w:val="32"/>
          <w:shd w:val="clear" w:fill="FFFFFF"/>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明确了市级储备粮费用管理、费用拨付、超支处理、贷款管理、入库成本、保管损失损耗和统计要求。</w:t>
      </w:r>
    </w:p>
    <w:p w14:paraId="452BD8A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default" w:ascii="楷体_GB2312" w:hAnsi="楷体_GB2312" w:eastAsia="楷体_GB2312" w:cs="楷体_GB2312"/>
          <w:b w:val="0"/>
          <w:bCs/>
          <w:i w:val="0"/>
          <w:iCs w:val="0"/>
          <w:caps w:val="0"/>
          <w:color w:val="auto"/>
          <w:spacing w:val="0"/>
          <w:sz w:val="32"/>
          <w:szCs w:val="32"/>
          <w:shd w:val="clear" w:fill="FFFFFF"/>
        </w:rPr>
      </w:pPr>
      <w:r>
        <w:rPr>
          <w:rStyle w:val="24"/>
          <w:rFonts w:hint="default" w:ascii="Times New Roman" w:hAnsi="Times New Roman" w:eastAsia="微软雅黑" w:cs="Times New Roman"/>
          <w:i w:val="0"/>
          <w:iCs w:val="0"/>
          <w:caps w:val="0"/>
          <w:color w:val="auto"/>
          <w:spacing w:val="0"/>
          <w:sz w:val="32"/>
          <w:szCs w:val="32"/>
          <w:shd w:val="clear" w:fill="FFFFFF"/>
        </w:rPr>
        <w:t>　　</w:t>
      </w:r>
      <w:r>
        <w:rPr>
          <w:rStyle w:val="24"/>
          <w:rFonts w:hint="default" w:ascii="楷体_GB2312" w:hAnsi="楷体_GB2312" w:eastAsia="楷体_GB2312" w:cs="楷体_GB2312"/>
          <w:b w:val="0"/>
          <w:bCs/>
          <w:i w:val="0"/>
          <w:iCs w:val="0"/>
          <w:caps w:val="0"/>
          <w:color w:val="auto"/>
          <w:spacing w:val="0"/>
          <w:sz w:val="32"/>
          <w:szCs w:val="32"/>
          <w:shd w:val="clear" w:fill="FFFFFF"/>
        </w:rPr>
        <w:t>（六）第六章  监督检查</w:t>
      </w:r>
    </w:p>
    <w:p w14:paraId="24B6CE6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iCs w:val="0"/>
          <w:caps w:val="0"/>
          <w:color w:val="auto"/>
          <w:spacing w:val="0"/>
          <w:sz w:val="32"/>
          <w:szCs w:val="32"/>
          <w:shd w:val="clear" w:fill="FFFFFF"/>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明确了市级储备粮监管部门职责、承(代)储企业配合监管的义务。</w:t>
      </w:r>
    </w:p>
    <w:p w14:paraId="46860043">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default" w:ascii="楷体_GB2312" w:hAnsi="楷体_GB2312" w:eastAsia="楷体_GB2312" w:cs="楷体_GB2312"/>
          <w:b w:val="0"/>
          <w:bCs/>
          <w:i w:val="0"/>
          <w:iCs w:val="0"/>
          <w:caps w:val="0"/>
          <w:color w:val="auto"/>
          <w:spacing w:val="0"/>
          <w:sz w:val="32"/>
          <w:szCs w:val="32"/>
          <w:shd w:val="clear" w:fill="FFFFFF"/>
        </w:rPr>
      </w:pPr>
      <w:r>
        <w:rPr>
          <w:rStyle w:val="24"/>
          <w:rFonts w:hint="default" w:ascii="Times New Roman" w:hAnsi="Times New Roman" w:eastAsia="微软雅黑" w:cs="Times New Roman"/>
          <w:i w:val="0"/>
          <w:iCs w:val="0"/>
          <w:caps w:val="0"/>
          <w:color w:val="auto"/>
          <w:spacing w:val="0"/>
          <w:sz w:val="32"/>
          <w:szCs w:val="32"/>
          <w:shd w:val="clear" w:fill="FFFFFF"/>
        </w:rPr>
        <w:t>　　</w:t>
      </w:r>
      <w:r>
        <w:rPr>
          <w:rStyle w:val="24"/>
          <w:rFonts w:hint="default" w:ascii="楷体_GB2312" w:hAnsi="楷体_GB2312" w:eastAsia="楷体_GB2312" w:cs="楷体_GB2312"/>
          <w:b w:val="0"/>
          <w:bCs/>
          <w:i w:val="0"/>
          <w:iCs w:val="0"/>
          <w:caps w:val="0"/>
          <w:color w:val="auto"/>
          <w:spacing w:val="0"/>
          <w:sz w:val="32"/>
          <w:szCs w:val="32"/>
          <w:shd w:val="clear" w:fill="FFFFFF"/>
        </w:rPr>
        <w:t>（七）第七章  法律责任</w:t>
      </w:r>
    </w:p>
    <w:p w14:paraId="2617013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iCs w:val="0"/>
          <w:caps w:val="0"/>
          <w:color w:val="auto"/>
          <w:spacing w:val="0"/>
          <w:sz w:val="32"/>
          <w:szCs w:val="32"/>
          <w:shd w:val="clear" w:fill="FFFFFF"/>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明确了市级储备粮监管部门、承(代)储企业等主管人员和直接责任人员的法律责任。</w:t>
      </w:r>
    </w:p>
    <w:p w14:paraId="7030C5C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default" w:ascii="楷体_GB2312" w:hAnsi="楷体_GB2312" w:eastAsia="楷体_GB2312" w:cs="楷体_GB2312"/>
          <w:b w:val="0"/>
          <w:bCs/>
          <w:i w:val="0"/>
          <w:iCs w:val="0"/>
          <w:caps w:val="0"/>
          <w:color w:val="auto"/>
          <w:spacing w:val="0"/>
          <w:sz w:val="32"/>
          <w:szCs w:val="32"/>
          <w:shd w:val="clear" w:fill="FFFFFF"/>
        </w:rPr>
      </w:pPr>
      <w:r>
        <w:rPr>
          <w:rStyle w:val="24"/>
          <w:rFonts w:hint="default" w:ascii="Times New Roman" w:hAnsi="Times New Roman" w:eastAsia="微软雅黑" w:cs="Times New Roman"/>
          <w:i w:val="0"/>
          <w:iCs w:val="0"/>
          <w:caps w:val="0"/>
          <w:color w:val="auto"/>
          <w:spacing w:val="0"/>
          <w:sz w:val="32"/>
          <w:szCs w:val="32"/>
          <w:shd w:val="clear" w:fill="FFFFFF"/>
        </w:rPr>
        <w:t>　　</w:t>
      </w:r>
      <w:r>
        <w:rPr>
          <w:rStyle w:val="24"/>
          <w:rFonts w:hint="default" w:ascii="楷体_GB2312" w:hAnsi="楷体_GB2312" w:eastAsia="楷体_GB2312" w:cs="楷体_GB2312"/>
          <w:b w:val="0"/>
          <w:bCs/>
          <w:i w:val="0"/>
          <w:iCs w:val="0"/>
          <w:caps w:val="0"/>
          <w:color w:val="auto"/>
          <w:spacing w:val="0"/>
          <w:sz w:val="32"/>
          <w:szCs w:val="32"/>
          <w:shd w:val="clear" w:fill="FFFFFF"/>
        </w:rPr>
        <w:t>（八）第八章  附则</w:t>
      </w:r>
    </w:p>
    <w:p w14:paraId="3877F8B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iCs w:val="0"/>
          <w:caps w:val="0"/>
          <w:color w:val="auto"/>
          <w:spacing w:val="0"/>
          <w:sz w:val="32"/>
          <w:szCs w:val="32"/>
          <w:shd w:val="clear" w:fill="FFFFFF"/>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明确了社会责任储备要求，确定了生效时间及有效期。</w:t>
      </w:r>
    </w:p>
    <w:p w14:paraId="72DDBBA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default" w:ascii="Times New Roman" w:hAnsi="Times New Roman" w:eastAsia="黑体" w:cs="Times New Roman"/>
          <w:b w:val="0"/>
          <w:bCs/>
          <w:i w:val="0"/>
          <w:iCs w:val="0"/>
          <w:caps w:val="0"/>
          <w:color w:val="auto"/>
          <w:spacing w:val="0"/>
          <w:sz w:val="32"/>
          <w:szCs w:val="32"/>
          <w:shd w:val="clear" w:fill="FFFFFF"/>
        </w:rPr>
      </w:pPr>
      <w:r>
        <w:rPr>
          <w:rStyle w:val="24"/>
          <w:rFonts w:hint="default" w:ascii="Times New Roman" w:hAnsi="Times New Roman" w:eastAsia="黑体" w:cs="Times New Roman"/>
          <w:i w:val="0"/>
          <w:iCs w:val="0"/>
          <w:caps w:val="0"/>
          <w:color w:val="auto"/>
          <w:spacing w:val="0"/>
          <w:sz w:val="32"/>
          <w:szCs w:val="32"/>
          <w:shd w:val="clear" w:fill="FFFFFF"/>
        </w:rPr>
        <w:t>　　</w:t>
      </w:r>
      <w:r>
        <w:rPr>
          <w:rStyle w:val="24"/>
          <w:rFonts w:hint="default" w:ascii="Times New Roman" w:hAnsi="Times New Roman" w:eastAsia="黑体" w:cs="Times New Roman"/>
          <w:b w:val="0"/>
          <w:bCs/>
          <w:i w:val="0"/>
          <w:iCs w:val="0"/>
          <w:caps w:val="0"/>
          <w:color w:val="auto"/>
          <w:spacing w:val="0"/>
          <w:sz w:val="32"/>
          <w:szCs w:val="32"/>
          <w:shd w:val="clear" w:fill="FFFFFF"/>
        </w:rPr>
        <w:t>四、《管理办法》主要修改内容</w:t>
      </w:r>
    </w:p>
    <w:p w14:paraId="1A9E278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default" w:ascii="楷体_GB2312" w:hAnsi="楷体_GB2312" w:eastAsia="楷体_GB2312" w:cs="楷体_GB2312"/>
          <w:b w:val="0"/>
          <w:bCs/>
          <w:i w:val="0"/>
          <w:iCs w:val="0"/>
          <w:caps w:val="0"/>
          <w:color w:val="auto"/>
          <w:spacing w:val="0"/>
          <w:sz w:val="32"/>
          <w:szCs w:val="32"/>
          <w:shd w:val="clear" w:fill="FFFFFF"/>
        </w:rPr>
      </w:pPr>
      <w:r>
        <w:rPr>
          <w:rStyle w:val="24"/>
          <w:rFonts w:hint="default" w:ascii="Times New Roman" w:hAnsi="Times New Roman" w:eastAsia="微软雅黑" w:cs="Times New Roman"/>
          <w:i w:val="0"/>
          <w:iCs w:val="0"/>
          <w:caps w:val="0"/>
          <w:color w:val="auto"/>
          <w:spacing w:val="0"/>
          <w:sz w:val="32"/>
          <w:szCs w:val="32"/>
          <w:shd w:val="clear" w:fill="FFFFFF"/>
        </w:rPr>
        <w:t>　　</w:t>
      </w:r>
      <w:r>
        <w:rPr>
          <w:rStyle w:val="24"/>
          <w:rFonts w:hint="default" w:ascii="楷体_GB2312" w:hAnsi="楷体_GB2312" w:eastAsia="楷体_GB2312" w:cs="楷体_GB2312"/>
          <w:b w:val="0"/>
          <w:bCs/>
          <w:i w:val="0"/>
          <w:iCs w:val="0"/>
          <w:caps w:val="0"/>
          <w:color w:val="auto"/>
          <w:spacing w:val="0"/>
          <w:sz w:val="32"/>
          <w:szCs w:val="32"/>
          <w:shd w:val="clear" w:fill="FFFFFF"/>
        </w:rPr>
        <w:t>（一）关于《管理办法》适用范围</w:t>
      </w:r>
    </w:p>
    <w:p w14:paraId="2B31237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iCs w:val="0"/>
          <w:caps w:val="0"/>
          <w:color w:val="auto"/>
          <w:spacing w:val="0"/>
          <w:sz w:val="32"/>
          <w:szCs w:val="32"/>
          <w:shd w:val="clear" w:fill="FFFFFF"/>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市级储备粮的收储、销售、轮换、储存、动用及相关监督管理活动，适用本办法。蓬江区、江海区储备粮管理遵照本办法执行。</w:t>
      </w:r>
    </w:p>
    <w:p w14:paraId="4394AEA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default" w:ascii="楷体_GB2312" w:hAnsi="楷体_GB2312" w:eastAsia="楷体_GB2312" w:cs="楷体_GB2312"/>
          <w:b w:val="0"/>
          <w:bCs/>
          <w:i w:val="0"/>
          <w:iCs w:val="0"/>
          <w:caps w:val="0"/>
          <w:color w:val="auto"/>
          <w:spacing w:val="0"/>
          <w:sz w:val="32"/>
          <w:szCs w:val="32"/>
          <w:shd w:val="clear" w:fill="FFFFFF"/>
        </w:rPr>
      </w:pPr>
      <w:r>
        <w:rPr>
          <w:rStyle w:val="24"/>
          <w:rFonts w:hint="default" w:ascii="Times New Roman" w:hAnsi="Times New Roman" w:eastAsia="微软雅黑" w:cs="Times New Roman"/>
          <w:i w:val="0"/>
          <w:iCs w:val="0"/>
          <w:caps w:val="0"/>
          <w:color w:val="auto"/>
          <w:spacing w:val="0"/>
          <w:sz w:val="32"/>
          <w:szCs w:val="32"/>
          <w:shd w:val="clear" w:fill="FFFFFF"/>
        </w:rPr>
        <w:t>　　</w:t>
      </w:r>
      <w:r>
        <w:rPr>
          <w:rStyle w:val="24"/>
          <w:rFonts w:hint="default" w:ascii="楷体_GB2312" w:hAnsi="楷体_GB2312" w:eastAsia="楷体_GB2312" w:cs="楷体_GB2312"/>
          <w:b w:val="0"/>
          <w:bCs/>
          <w:i w:val="0"/>
          <w:iCs w:val="0"/>
          <w:caps w:val="0"/>
          <w:color w:val="auto"/>
          <w:spacing w:val="0"/>
          <w:sz w:val="32"/>
          <w:szCs w:val="32"/>
          <w:shd w:val="clear" w:fill="FFFFFF"/>
        </w:rPr>
        <w:t>（二）关于市级储备粮承储企业职能</w:t>
      </w:r>
    </w:p>
    <w:p w14:paraId="7F5D59B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iCs w:val="0"/>
          <w:caps w:val="0"/>
          <w:color w:val="auto"/>
          <w:spacing w:val="0"/>
          <w:sz w:val="32"/>
          <w:szCs w:val="32"/>
          <w:shd w:val="clear" w:fill="FFFFFF"/>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市级储备粮承储企业具体负责市级储备粮的收储、销售、轮换、储存、动用等具体业务，并对市级储备粮的数量、质量、储存安全负责。</w:t>
      </w:r>
    </w:p>
    <w:p w14:paraId="7EF325E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default" w:ascii="楷体_GB2312" w:hAnsi="楷体_GB2312" w:eastAsia="楷体_GB2312" w:cs="楷体_GB2312"/>
          <w:b w:val="0"/>
          <w:bCs/>
          <w:i w:val="0"/>
          <w:iCs w:val="0"/>
          <w:caps w:val="0"/>
          <w:color w:val="auto"/>
          <w:spacing w:val="0"/>
          <w:sz w:val="32"/>
          <w:szCs w:val="32"/>
          <w:shd w:val="clear" w:fill="FFFFFF"/>
        </w:rPr>
      </w:pPr>
      <w:r>
        <w:rPr>
          <w:rStyle w:val="24"/>
          <w:rFonts w:hint="default" w:ascii="Times New Roman" w:hAnsi="Times New Roman" w:eastAsia="微软雅黑" w:cs="Times New Roman"/>
          <w:i w:val="0"/>
          <w:iCs w:val="0"/>
          <w:caps w:val="0"/>
          <w:color w:val="auto"/>
          <w:spacing w:val="0"/>
          <w:sz w:val="32"/>
          <w:szCs w:val="32"/>
          <w:shd w:val="clear" w:fill="FFFFFF"/>
        </w:rPr>
        <w:t>　　</w:t>
      </w:r>
      <w:r>
        <w:rPr>
          <w:rStyle w:val="24"/>
          <w:rFonts w:hint="default" w:ascii="楷体_GB2312" w:hAnsi="楷体_GB2312" w:eastAsia="楷体_GB2312" w:cs="楷体_GB2312"/>
          <w:b w:val="0"/>
          <w:bCs/>
          <w:i w:val="0"/>
          <w:iCs w:val="0"/>
          <w:caps w:val="0"/>
          <w:color w:val="auto"/>
          <w:spacing w:val="0"/>
          <w:sz w:val="32"/>
          <w:szCs w:val="32"/>
          <w:shd w:val="clear" w:fill="FFFFFF"/>
        </w:rPr>
        <w:t>（三）关于储备粮储存年限</w:t>
      </w:r>
    </w:p>
    <w:p w14:paraId="268896E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iCs w:val="0"/>
          <w:caps w:val="0"/>
          <w:color w:val="auto"/>
          <w:spacing w:val="0"/>
          <w:sz w:val="32"/>
          <w:szCs w:val="32"/>
          <w:shd w:val="clear" w:fill="FFFFFF"/>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储存年限稻谷和玉米不超过3年，小麦不超过5年，豆类及食用油脂不超过2年，大米、面粉、食用油等成品粮（含小包装）原则上不超过1年并应在保质期到期之前进行轮换。</w:t>
      </w:r>
    </w:p>
    <w:p w14:paraId="48C15AB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default" w:ascii="楷体_GB2312" w:hAnsi="楷体_GB2312" w:eastAsia="楷体_GB2312" w:cs="楷体_GB2312"/>
          <w:b w:val="0"/>
          <w:bCs/>
          <w:i w:val="0"/>
          <w:iCs w:val="0"/>
          <w:caps w:val="0"/>
          <w:color w:val="auto"/>
          <w:spacing w:val="0"/>
          <w:sz w:val="32"/>
          <w:szCs w:val="32"/>
          <w:shd w:val="clear" w:fill="FFFFFF"/>
        </w:rPr>
      </w:pPr>
      <w:r>
        <w:rPr>
          <w:rStyle w:val="24"/>
          <w:rFonts w:hint="default" w:ascii="Times New Roman" w:hAnsi="Times New Roman" w:eastAsia="微软雅黑" w:cs="Times New Roman"/>
          <w:i w:val="0"/>
          <w:iCs w:val="0"/>
          <w:caps w:val="0"/>
          <w:color w:val="auto"/>
          <w:spacing w:val="0"/>
          <w:sz w:val="32"/>
          <w:szCs w:val="32"/>
          <w:shd w:val="clear" w:fill="FFFFFF"/>
        </w:rPr>
        <w:t>　　</w:t>
      </w:r>
      <w:r>
        <w:rPr>
          <w:rStyle w:val="24"/>
          <w:rFonts w:hint="default" w:ascii="楷体_GB2312" w:hAnsi="楷体_GB2312" w:eastAsia="楷体_GB2312" w:cs="楷体_GB2312"/>
          <w:b w:val="0"/>
          <w:bCs/>
          <w:i w:val="0"/>
          <w:iCs w:val="0"/>
          <w:caps w:val="0"/>
          <w:color w:val="auto"/>
          <w:spacing w:val="0"/>
          <w:sz w:val="32"/>
          <w:szCs w:val="32"/>
          <w:shd w:val="clear" w:fill="FFFFFF"/>
        </w:rPr>
        <w:t>（四）关于储备粮轮换架空期</w:t>
      </w:r>
    </w:p>
    <w:p w14:paraId="194CE30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iCs w:val="0"/>
          <w:caps w:val="0"/>
          <w:color w:val="auto"/>
          <w:spacing w:val="0"/>
          <w:sz w:val="32"/>
          <w:szCs w:val="32"/>
          <w:shd w:val="clear" w:fill="FFFFFF"/>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市级储备粮采取静态轮换方式的，轮换出入库时间间隔不得超过4个月，经市发展改革（粮食和储备）部门批准，可以适当延期，延期轮换时间不得超过2个月。</w:t>
      </w:r>
    </w:p>
    <w:p w14:paraId="6B5C8C0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default" w:ascii="楷体_GB2312" w:hAnsi="楷体_GB2312" w:eastAsia="楷体_GB2312" w:cs="楷体_GB2312"/>
          <w:b w:val="0"/>
          <w:bCs/>
          <w:i w:val="0"/>
          <w:iCs w:val="0"/>
          <w:caps w:val="0"/>
          <w:color w:val="auto"/>
          <w:spacing w:val="0"/>
          <w:sz w:val="32"/>
          <w:szCs w:val="32"/>
          <w:shd w:val="clear" w:fill="FFFFFF"/>
        </w:rPr>
      </w:pPr>
      <w:r>
        <w:rPr>
          <w:rStyle w:val="24"/>
          <w:rFonts w:hint="default" w:ascii="Times New Roman" w:hAnsi="Times New Roman" w:eastAsia="微软雅黑" w:cs="Times New Roman"/>
          <w:i w:val="0"/>
          <w:iCs w:val="0"/>
          <w:caps w:val="0"/>
          <w:color w:val="auto"/>
          <w:spacing w:val="0"/>
          <w:sz w:val="32"/>
          <w:szCs w:val="32"/>
          <w:shd w:val="clear" w:fill="FFFFFF"/>
        </w:rPr>
        <w:t>　　</w:t>
      </w:r>
      <w:r>
        <w:rPr>
          <w:rStyle w:val="24"/>
          <w:rFonts w:hint="default" w:ascii="楷体_GB2312" w:hAnsi="楷体_GB2312" w:eastAsia="楷体_GB2312" w:cs="楷体_GB2312"/>
          <w:b w:val="0"/>
          <w:bCs/>
          <w:i w:val="0"/>
          <w:iCs w:val="0"/>
          <w:caps w:val="0"/>
          <w:color w:val="auto"/>
          <w:spacing w:val="0"/>
          <w:sz w:val="32"/>
          <w:szCs w:val="32"/>
          <w:shd w:val="clear" w:fill="FFFFFF"/>
        </w:rPr>
        <w:t>（五）关于储备粮代储企业</w:t>
      </w:r>
    </w:p>
    <w:p w14:paraId="5068EA5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iCs w:val="0"/>
          <w:caps w:val="0"/>
          <w:color w:val="auto"/>
          <w:spacing w:val="0"/>
          <w:sz w:val="32"/>
          <w:szCs w:val="32"/>
          <w:shd w:val="clear" w:fill="FFFFFF"/>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市级储备粮原则上由市级国有粮食企业承储，也可以由承储企业委托具备条件的粮食企业代储。市级储备粮承储企业制定代储企业选定标准和原则，对委托代储的储备粮数量、质量和储存安全承担主体责任，并与代储企业签订代储合同。</w:t>
      </w:r>
    </w:p>
    <w:p w14:paraId="023A586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default" w:ascii="楷体_GB2312" w:hAnsi="楷体_GB2312" w:eastAsia="楷体_GB2312" w:cs="楷体_GB2312"/>
          <w:b w:val="0"/>
          <w:bCs/>
          <w:i w:val="0"/>
          <w:iCs w:val="0"/>
          <w:caps w:val="0"/>
          <w:color w:val="auto"/>
          <w:spacing w:val="0"/>
          <w:sz w:val="32"/>
          <w:szCs w:val="32"/>
          <w:shd w:val="clear" w:fill="FFFFFF"/>
        </w:rPr>
      </w:pPr>
      <w:r>
        <w:rPr>
          <w:rStyle w:val="24"/>
          <w:rFonts w:hint="default" w:ascii="Times New Roman" w:hAnsi="Times New Roman" w:eastAsia="微软雅黑" w:cs="Times New Roman"/>
          <w:i w:val="0"/>
          <w:iCs w:val="0"/>
          <w:caps w:val="0"/>
          <w:color w:val="auto"/>
          <w:spacing w:val="0"/>
          <w:sz w:val="32"/>
          <w:szCs w:val="32"/>
          <w:shd w:val="clear" w:fill="FFFFFF"/>
        </w:rPr>
        <w:t>　　</w:t>
      </w:r>
      <w:r>
        <w:rPr>
          <w:rStyle w:val="24"/>
          <w:rFonts w:hint="default" w:ascii="楷体_GB2312" w:hAnsi="楷体_GB2312" w:eastAsia="楷体_GB2312" w:cs="楷体_GB2312"/>
          <w:b w:val="0"/>
          <w:bCs/>
          <w:i w:val="0"/>
          <w:iCs w:val="0"/>
          <w:caps w:val="0"/>
          <w:color w:val="auto"/>
          <w:spacing w:val="0"/>
          <w:sz w:val="32"/>
          <w:szCs w:val="32"/>
          <w:shd w:val="clear" w:fill="FFFFFF"/>
        </w:rPr>
        <w:t>（六）关于储备粮储存保管要求</w:t>
      </w:r>
    </w:p>
    <w:p w14:paraId="31222BD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iCs w:val="0"/>
          <w:caps w:val="0"/>
          <w:color w:val="auto"/>
          <w:spacing w:val="0"/>
          <w:sz w:val="32"/>
          <w:szCs w:val="32"/>
          <w:shd w:val="clear" w:fill="FFFFFF"/>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储备粮承储企业储存市级储备粮，必须严格实行政府储备运营业务与企业商业经营业务分离，做到人员、实物、财务、账务管理严格分开。经市人民政府批准，市级储备粮可以实行市外异地储存，但所占比例不得超过国家有关规定。</w:t>
      </w:r>
    </w:p>
    <w:p w14:paraId="70D1021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default" w:ascii="楷体_GB2312" w:hAnsi="楷体_GB2312" w:eastAsia="楷体_GB2312" w:cs="楷体_GB2312"/>
          <w:b w:val="0"/>
          <w:bCs/>
          <w:i w:val="0"/>
          <w:iCs w:val="0"/>
          <w:caps w:val="0"/>
          <w:color w:val="auto"/>
          <w:spacing w:val="0"/>
          <w:sz w:val="32"/>
          <w:szCs w:val="32"/>
          <w:shd w:val="clear" w:fill="FFFFFF"/>
        </w:rPr>
      </w:pPr>
      <w:r>
        <w:rPr>
          <w:rStyle w:val="24"/>
          <w:rFonts w:hint="default" w:ascii="Times New Roman" w:hAnsi="Times New Roman" w:eastAsia="微软雅黑" w:cs="Times New Roman"/>
          <w:i w:val="0"/>
          <w:iCs w:val="0"/>
          <w:caps w:val="0"/>
          <w:color w:val="auto"/>
          <w:spacing w:val="0"/>
          <w:sz w:val="32"/>
          <w:szCs w:val="32"/>
          <w:shd w:val="clear" w:fill="FFFFFF"/>
        </w:rPr>
        <w:t>　　</w:t>
      </w:r>
      <w:r>
        <w:rPr>
          <w:rStyle w:val="24"/>
          <w:rFonts w:hint="default" w:ascii="楷体_GB2312" w:hAnsi="楷体_GB2312" w:eastAsia="楷体_GB2312" w:cs="楷体_GB2312"/>
          <w:b w:val="0"/>
          <w:bCs/>
          <w:i w:val="0"/>
          <w:iCs w:val="0"/>
          <w:caps w:val="0"/>
          <w:color w:val="auto"/>
          <w:spacing w:val="0"/>
          <w:sz w:val="32"/>
          <w:szCs w:val="32"/>
          <w:shd w:val="clear" w:fill="FFFFFF"/>
        </w:rPr>
        <w:t>（七）关于储备粮动用要求</w:t>
      </w:r>
    </w:p>
    <w:p w14:paraId="07519C1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iCs w:val="0"/>
          <w:caps w:val="0"/>
          <w:color w:val="auto"/>
          <w:spacing w:val="0"/>
          <w:sz w:val="32"/>
          <w:szCs w:val="32"/>
          <w:shd w:val="clear" w:fill="FFFFFF"/>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动用市级储备粮，由市发展改革（粮食和储备）部门会同财政部门提出动用方案，报市人民政府批准。动用方案应当包括动用市级储备粮的品种、数量、质量、价格、使用安排、运输保障等内容。市级储备粮被动用后，应当在12个月内完成等量补库。</w:t>
      </w:r>
    </w:p>
    <w:p w14:paraId="2652FDE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default" w:ascii="楷体_GB2312" w:hAnsi="楷体_GB2312" w:eastAsia="楷体_GB2312" w:cs="楷体_GB2312"/>
          <w:b w:val="0"/>
          <w:bCs/>
          <w:i w:val="0"/>
          <w:iCs w:val="0"/>
          <w:caps w:val="0"/>
          <w:color w:val="auto"/>
          <w:spacing w:val="0"/>
          <w:sz w:val="32"/>
          <w:szCs w:val="32"/>
          <w:shd w:val="clear" w:fill="FFFFFF"/>
        </w:rPr>
      </w:pPr>
      <w:r>
        <w:rPr>
          <w:rStyle w:val="24"/>
          <w:rFonts w:hint="default" w:ascii="Times New Roman" w:hAnsi="Times New Roman" w:eastAsia="微软雅黑" w:cs="Times New Roman"/>
          <w:i w:val="0"/>
          <w:iCs w:val="0"/>
          <w:caps w:val="0"/>
          <w:color w:val="auto"/>
          <w:spacing w:val="0"/>
          <w:sz w:val="32"/>
          <w:szCs w:val="32"/>
          <w:shd w:val="clear" w:fill="FFFFFF"/>
        </w:rPr>
        <w:t>　　</w:t>
      </w:r>
      <w:r>
        <w:rPr>
          <w:rStyle w:val="24"/>
          <w:rFonts w:hint="default" w:ascii="楷体_GB2312" w:hAnsi="楷体_GB2312" w:eastAsia="楷体_GB2312" w:cs="楷体_GB2312"/>
          <w:b w:val="0"/>
          <w:bCs/>
          <w:i w:val="0"/>
          <w:iCs w:val="0"/>
          <w:caps w:val="0"/>
          <w:color w:val="auto"/>
          <w:spacing w:val="0"/>
          <w:sz w:val="32"/>
          <w:szCs w:val="32"/>
          <w:shd w:val="clear" w:fill="FFFFFF"/>
        </w:rPr>
        <w:t>（八）关于市级储备粮损失、损耗处理</w:t>
      </w:r>
    </w:p>
    <w:p w14:paraId="4C489C8C">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微软雅黑" w:cs="Times New Roman"/>
          <w:i w:val="0"/>
          <w:iCs w:val="0"/>
          <w:caps w:val="0"/>
          <w:color w:val="auto"/>
          <w:spacing w:val="0"/>
          <w:sz w:val="32"/>
          <w:szCs w:val="32"/>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建立市级储备粮损失、损耗处理制度，及时处理所发生的损失、损耗。</w:t>
      </w:r>
    </w:p>
    <w:p w14:paraId="71F12C7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default" w:ascii="楷体_GB2312" w:hAnsi="楷体_GB2312" w:eastAsia="楷体_GB2312" w:cs="楷体_GB2312"/>
          <w:b w:val="0"/>
          <w:bCs/>
          <w:i w:val="0"/>
          <w:iCs w:val="0"/>
          <w:caps w:val="0"/>
          <w:color w:val="auto"/>
          <w:spacing w:val="0"/>
          <w:sz w:val="32"/>
          <w:szCs w:val="32"/>
          <w:shd w:val="clear" w:fill="FFFFFF"/>
        </w:rPr>
      </w:pPr>
      <w:r>
        <w:rPr>
          <w:rStyle w:val="24"/>
          <w:rFonts w:hint="default" w:ascii="Times New Roman" w:hAnsi="Times New Roman" w:eastAsia="微软雅黑" w:cs="Times New Roman"/>
          <w:i w:val="0"/>
          <w:iCs w:val="0"/>
          <w:caps w:val="0"/>
          <w:color w:val="auto"/>
          <w:spacing w:val="0"/>
          <w:sz w:val="32"/>
          <w:szCs w:val="32"/>
          <w:shd w:val="clear" w:fill="FFFFFF"/>
        </w:rPr>
        <w:t>　　</w:t>
      </w:r>
      <w:r>
        <w:rPr>
          <w:rStyle w:val="24"/>
          <w:rFonts w:hint="default" w:ascii="楷体_GB2312" w:hAnsi="楷体_GB2312" w:eastAsia="楷体_GB2312" w:cs="楷体_GB2312"/>
          <w:b w:val="0"/>
          <w:bCs/>
          <w:i w:val="0"/>
          <w:iCs w:val="0"/>
          <w:caps w:val="0"/>
          <w:color w:val="auto"/>
          <w:spacing w:val="0"/>
          <w:sz w:val="32"/>
          <w:szCs w:val="32"/>
          <w:shd w:val="clear" w:fill="FFFFFF"/>
        </w:rPr>
        <w:t>（九）关于审计机关监督职能</w:t>
      </w:r>
    </w:p>
    <w:p w14:paraId="54B1419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iCs w:val="0"/>
          <w:caps w:val="0"/>
          <w:color w:val="auto"/>
          <w:spacing w:val="0"/>
          <w:sz w:val="32"/>
          <w:szCs w:val="32"/>
          <w:shd w:val="clear" w:fill="FFFFFF"/>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市人民政府审计机关依法对市级储备粮政策措施落实情况及相关资金筹集分配管理使用等情况实施审计监督。</w:t>
      </w:r>
    </w:p>
    <w:p w14:paraId="32A51AE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default" w:ascii="楷体_GB2312" w:hAnsi="楷体_GB2312" w:eastAsia="楷体_GB2312" w:cs="楷体_GB2312"/>
          <w:b w:val="0"/>
          <w:bCs/>
          <w:i w:val="0"/>
          <w:iCs w:val="0"/>
          <w:caps w:val="0"/>
          <w:color w:val="auto"/>
          <w:spacing w:val="0"/>
          <w:sz w:val="32"/>
          <w:szCs w:val="32"/>
          <w:shd w:val="clear" w:fill="FFFFFF"/>
        </w:rPr>
      </w:pPr>
      <w:r>
        <w:rPr>
          <w:rStyle w:val="24"/>
          <w:rFonts w:hint="default" w:ascii="Times New Roman" w:hAnsi="Times New Roman" w:eastAsia="微软雅黑" w:cs="Times New Roman"/>
          <w:i w:val="0"/>
          <w:iCs w:val="0"/>
          <w:caps w:val="0"/>
          <w:color w:val="auto"/>
          <w:spacing w:val="0"/>
          <w:sz w:val="32"/>
          <w:szCs w:val="32"/>
          <w:shd w:val="clear" w:fill="FFFFFF"/>
        </w:rPr>
        <w:t>　　</w:t>
      </w:r>
      <w:r>
        <w:rPr>
          <w:rStyle w:val="24"/>
          <w:rFonts w:hint="default" w:ascii="楷体_GB2312" w:hAnsi="楷体_GB2312" w:eastAsia="楷体_GB2312" w:cs="楷体_GB2312"/>
          <w:b w:val="0"/>
          <w:bCs/>
          <w:i w:val="0"/>
          <w:iCs w:val="0"/>
          <w:caps w:val="0"/>
          <w:color w:val="auto"/>
          <w:spacing w:val="0"/>
          <w:sz w:val="32"/>
          <w:szCs w:val="32"/>
          <w:shd w:val="clear" w:fill="FFFFFF"/>
        </w:rPr>
        <w:t>（十）关于社会责任储备</w:t>
      </w:r>
    </w:p>
    <w:p w14:paraId="5C53E7E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微软雅黑" w:cs="Times New Roman"/>
          <w:i w:val="0"/>
          <w:iCs w:val="0"/>
          <w:caps w:val="0"/>
          <w:color w:val="auto"/>
          <w:spacing w:val="0"/>
          <w:sz w:val="32"/>
          <w:szCs w:val="32"/>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代储企业应当按照规定承担相应社会责任储备，并执行特定情况下粮食库存量规定。</w:t>
      </w:r>
    </w:p>
    <w:p w14:paraId="41CDA59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Style w:val="24"/>
          <w:rFonts w:hint="default" w:ascii="Times New Roman" w:hAnsi="Times New Roman" w:eastAsia="黑体" w:cs="Times New Roman"/>
          <w:b w:val="0"/>
          <w:bCs w:val="0"/>
          <w:i w:val="0"/>
          <w:iCs w:val="0"/>
          <w:caps w:val="0"/>
          <w:color w:val="auto"/>
          <w:spacing w:val="0"/>
          <w:sz w:val="32"/>
          <w:szCs w:val="32"/>
          <w:shd w:val="clear" w:fill="FFFFFF"/>
        </w:rPr>
      </w:pPr>
      <w:r>
        <w:rPr>
          <w:rFonts w:hint="default" w:ascii="Times New Roman" w:hAnsi="Times New Roman" w:eastAsia="微软雅黑" w:cs="Times New Roman"/>
          <w:b/>
          <w:bCs/>
          <w:i w:val="0"/>
          <w:iCs w:val="0"/>
          <w:caps w:val="0"/>
          <w:color w:val="auto"/>
          <w:spacing w:val="0"/>
          <w:sz w:val="32"/>
          <w:szCs w:val="32"/>
          <w:shd w:val="clear" w:fill="FFFFFF"/>
        </w:rPr>
        <w:t>　　</w:t>
      </w:r>
      <w:r>
        <w:rPr>
          <w:rStyle w:val="24"/>
          <w:rFonts w:hint="default" w:ascii="Times New Roman" w:hAnsi="Times New Roman" w:eastAsia="黑体" w:cs="Times New Roman"/>
          <w:b w:val="0"/>
          <w:bCs w:val="0"/>
          <w:i w:val="0"/>
          <w:iCs w:val="0"/>
          <w:caps w:val="0"/>
          <w:color w:val="auto"/>
          <w:spacing w:val="0"/>
          <w:sz w:val="32"/>
          <w:szCs w:val="32"/>
          <w:shd w:val="clear" w:fill="FFFFFF"/>
        </w:rPr>
        <w:t>五、实施时间</w:t>
      </w:r>
    </w:p>
    <w:p w14:paraId="6AA8A64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iCs w:val="0"/>
          <w:caps w:val="0"/>
          <w:color w:val="auto"/>
          <w:spacing w:val="0"/>
          <w:sz w:val="32"/>
          <w:szCs w:val="32"/>
          <w:shd w:val="clear" w:fill="FFFFFF"/>
        </w:rPr>
      </w:pPr>
      <w:r>
        <w:rPr>
          <w:rFonts w:hint="default" w:ascii="Times New Roman" w:hAnsi="Times New Roman" w:eastAsia="微软雅黑" w:cs="Times New Roman"/>
          <w:i w:val="0"/>
          <w:iCs w:val="0"/>
          <w:caps w:val="0"/>
          <w:color w:val="auto"/>
          <w:spacing w:val="0"/>
          <w:sz w:val="32"/>
          <w:szCs w:val="32"/>
          <w:shd w:val="clear" w:fill="FFFFFF"/>
        </w:rPr>
        <w:t>　　</w:t>
      </w:r>
      <w:r>
        <w:rPr>
          <w:rFonts w:hint="default" w:ascii="Times New Roman" w:hAnsi="Times New Roman" w:eastAsia="仿宋_GB2312" w:cs="Times New Roman"/>
          <w:i w:val="0"/>
          <w:iCs w:val="0"/>
          <w:caps w:val="0"/>
          <w:color w:val="auto"/>
          <w:spacing w:val="0"/>
          <w:sz w:val="32"/>
          <w:szCs w:val="32"/>
          <w:shd w:val="clear" w:fill="FFFFFF"/>
        </w:rPr>
        <w:t>本办法自2023年3月1起施行，有效期至2028年2月29日。</w:t>
      </w:r>
    </w:p>
    <w:p w14:paraId="10C64E8D">
      <w:pPr>
        <w:pStyle w:val="29"/>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textAlignment w:val="auto"/>
        <w:rPr>
          <w:rFonts w:hint="default" w:ascii="Times New Roman" w:hAnsi="Times New Roman" w:eastAsia="黑体" w:cs="Times New Roman"/>
          <w:color w:val="auto"/>
          <w:sz w:val="32"/>
          <w:szCs w:val="32"/>
          <w:lang w:val="en-US" w:eastAsia="zh-CN"/>
        </w:rPr>
      </w:pPr>
    </w:p>
    <w:p w14:paraId="5025B091">
      <w:pPr>
        <w:pStyle w:val="29"/>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textAlignment w:val="auto"/>
        <w:rPr>
          <w:rFonts w:hint="default" w:ascii="Times New Roman" w:hAnsi="Times New Roman" w:eastAsia="黑体" w:cs="Times New Roman"/>
          <w:color w:val="auto"/>
          <w:sz w:val="32"/>
          <w:szCs w:val="32"/>
          <w:lang w:val="en-US" w:eastAsia="zh-CN"/>
        </w:rPr>
      </w:pPr>
    </w:p>
    <w:p w14:paraId="4A8622B5">
      <w:pPr>
        <w:pStyle w:val="29"/>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textAlignment w:val="auto"/>
        <w:rPr>
          <w:rFonts w:hint="default" w:ascii="Times New Roman" w:hAnsi="Times New Roman" w:eastAsia="黑体" w:cs="Times New Roman"/>
          <w:color w:val="auto"/>
          <w:sz w:val="32"/>
          <w:szCs w:val="32"/>
          <w:lang w:val="en-US" w:eastAsia="zh-CN"/>
        </w:rPr>
      </w:pPr>
    </w:p>
    <w:p w14:paraId="1C5C0508">
      <w:pPr>
        <w:pStyle w:val="29"/>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textAlignment w:val="auto"/>
        <w:rPr>
          <w:rFonts w:hint="default" w:ascii="Times New Roman" w:hAnsi="Times New Roman" w:eastAsia="黑体" w:cs="Times New Roman"/>
          <w:color w:val="auto"/>
          <w:sz w:val="32"/>
          <w:szCs w:val="32"/>
          <w:lang w:val="en-US" w:eastAsia="zh-CN"/>
        </w:rPr>
      </w:pPr>
    </w:p>
    <w:p w14:paraId="7B9B2D1C">
      <w:pPr>
        <w:pStyle w:val="29"/>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textAlignment w:val="auto"/>
        <w:rPr>
          <w:rFonts w:hint="default" w:ascii="Times New Roman" w:hAnsi="Times New Roman" w:eastAsia="黑体" w:cs="Times New Roman"/>
          <w:color w:val="auto"/>
          <w:sz w:val="32"/>
          <w:szCs w:val="32"/>
          <w:lang w:val="en-US" w:eastAsia="zh-CN"/>
        </w:rPr>
      </w:pPr>
    </w:p>
    <w:p w14:paraId="1129B937">
      <w:pPr>
        <w:pStyle w:val="29"/>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textAlignment w:val="auto"/>
        <w:rPr>
          <w:rFonts w:hint="default" w:ascii="Times New Roman" w:hAnsi="Times New Roman" w:eastAsia="黑体" w:cs="Times New Roman"/>
          <w:color w:val="auto"/>
          <w:sz w:val="32"/>
          <w:szCs w:val="32"/>
          <w:lang w:val="en-US" w:eastAsia="zh-CN"/>
        </w:rPr>
      </w:pPr>
    </w:p>
    <w:p w14:paraId="57D7031C">
      <w:pPr>
        <w:pStyle w:val="29"/>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textAlignment w:val="auto"/>
        <w:rPr>
          <w:rFonts w:hint="default" w:ascii="Times New Roman" w:hAnsi="Times New Roman" w:eastAsia="黑体" w:cs="Times New Roman"/>
          <w:color w:val="auto"/>
          <w:sz w:val="32"/>
          <w:szCs w:val="32"/>
          <w:lang w:val="en-US" w:eastAsia="zh-CN"/>
        </w:rPr>
      </w:pPr>
    </w:p>
    <w:bookmarkEnd w:id="0"/>
    <w:bookmarkEnd w:id="1"/>
    <w:sectPr>
      <w:footerReference r:id="rId4" w:type="default"/>
      <w:footnotePr>
        <w:numRestart w:val="eachSect"/>
      </w:footnotePr>
      <w:pgMar w:top="2098" w:right="1474" w:bottom="1984" w:left="1587" w:header="720" w:footer="720" w:gutter="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ptos">
    <w:altName w:val="Segoe UI"/>
    <w:panose1 w:val="020B0004020202020204"/>
    <w:charset w:val="00"/>
    <w:family w:val="swiss"/>
    <w:pitch w:val="default"/>
    <w:sig w:usb0="00000000" w:usb1="00000000" w:usb2="00000000" w:usb3="00000000" w:csb0="0000019F" w:csb1="00000000"/>
  </w:font>
  <w:font w:name="Segoe UI">
    <w:panose1 w:val="020B0502040204020203"/>
    <w:charset w:val="00"/>
    <w:family w:val="auto"/>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Aptos Display">
    <w:altName w:val="Segoe UI"/>
    <w:panose1 w:val="020B0004020202020204"/>
    <w:charset w:val="00"/>
    <w:family w:val="swiss"/>
    <w:pitch w:val="default"/>
    <w:sig w:usb0="00000000" w:usb1="00000000" w:usb2="00000000" w:usb3="00000000" w:csb0="0000019F"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auto"/>
    <w:pitch w:val="default"/>
    <w:sig w:usb0="E00006FF" w:usb1="0000FCFF" w:usb2="00000001" w:usb3="00000000" w:csb0="6000019F" w:csb1="DFD7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03D63">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447EF9">
                          <w:pPr>
                            <w:pStyle w:val="1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2B447EF9">
                    <w:pPr>
                      <w:pStyle w:val="17"/>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NotTrackMoves/>
  <w:documentProtection w:enforcement="0"/>
  <w:defaultTabStop w:val="720"/>
  <w:drawingGridHorizontalSpacing w:val="360"/>
  <w:drawingGridVerticalSpacing w:val="360"/>
  <w:displayHorizontalDrawingGridEvery w:val="1"/>
  <w:displayVerticalDrawingGridEvery w:val="1"/>
  <w:noPunctuationKerning w:val="1"/>
  <w:characterSpacingControl w:val="doNotCompress"/>
  <w:hdrShapeDefaults>
    <o:shapelayout v:ext="edit">
      <o:idmap v:ext="edit" data="3,4"/>
    </o:shapelayout>
  </w:hdrShapeDefaults>
  <w:footnotePr>
    <w:numRestart w:val="eachSect"/>
    <w:footnote w:id="0"/>
    <w:footnote w:id="1"/>
  </w:foot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79411F"/>
    <w:rsid w:val="0A37225B"/>
    <w:rsid w:val="117B3EC8"/>
    <w:rsid w:val="139F6979"/>
    <w:rsid w:val="13C45141"/>
    <w:rsid w:val="1635775C"/>
    <w:rsid w:val="17AA7319"/>
    <w:rsid w:val="1C99656B"/>
    <w:rsid w:val="1D646B79"/>
    <w:rsid w:val="1F4E5D32"/>
    <w:rsid w:val="2099122F"/>
    <w:rsid w:val="20C95670"/>
    <w:rsid w:val="20F12E19"/>
    <w:rsid w:val="22E54FF2"/>
    <w:rsid w:val="25200C13"/>
    <w:rsid w:val="2F567CCD"/>
    <w:rsid w:val="2F6D5D61"/>
    <w:rsid w:val="38232AA8"/>
    <w:rsid w:val="3911775D"/>
    <w:rsid w:val="395249DA"/>
    <w:rsid w:val="3995213C"/>
    <w:rsid w:val="41464AFA"/>
    <w:rsid w:val="414F3518"/>
    <w:rsid w:val="45557AB0"/>
    <w:rsid w:val="46F26E20"/>
    <w:rsid w:val="4CB91D32"/>
    <w:rsid w:val="4DF80A94"/>
    <w:rsid w:val="51B51175"/>
    <w:rsid w:val="53FF71F8"/>
    <w:rsid w:val="586314BE"/>
    <w:rsid w:val="58C53113"/>
    <w:rsid w:val="59FD2183"/>
    <w:rsid w:val="5AF54CD9"/>
    <w:rsid w:val="5CA41DD6"/>
    <w:rsid w:val="5D2F4FC8"/>
    <w:rsid w:val="5D883BE2"/>
    <w:rsid w:val="627953AC"/>
    <w:rsid w:val="667967BE"/>
    <w:rsid w:val="692708A5"/>
    <w:rsid w:val="6BC404DB"/>
    <w:rsid w:val="720F6228"/>
    <w:rsid w:val="74AE2B48"/>
    <w:rsid w:val="779B0EAF"/>
    <w:rsid w:val="78F87A16"/>
    <w:rsid w:val="7EB6757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pPr>
    <w:rPr>
      <w:rFonts w:asciiTheme="minorHAnsi" w:hAnsiTheme="minorHAnsi" w:eastAsiaTheme="minorEastAsia" w:cstheme="minorBidi"/>
      <w:sz w:val="24"/>
      <w:szCs w:val="24"/>
      <w:lang w:val="en-US" w:eastAsia="zh-CN" w:bidi="ar-SA"/>
    </w:rPr>
  </w:style>
  <w:style w:type="paragraph" w:styleId="4">
    <w:name w:val="heading 1"/>
    <w:basedOn w:val="1"/>
    <w:next w:val="3"/>
    <w:link w:val="36"/>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5">
    <w:name w:val="heading 2"/>
    <w:basedOn w:val="1"/>
    <w:next w:val="3"/>
    <w:link w:val="3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6">
    <w:name w:val="heading 3"/>
    <w:basedOn w:val="1"/>
    <w:next w:val="3"/>
    <w:link w:val="38"/>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7">
    <w:name w:val="heading 4"/>
    <w:basedOn w:val="1"/>
    <w:next w:val="3"/>
    <w:link w:val="39"/>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8">
    <w:name w:val="heading 5"/>
    <w:basedOn w:val="1"/>
    <w:next w:val="3"/>
    <w:link w:val="40"/>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9">
    <w:name w:val="heading 6"/>
    <w:basedOn w:val="1"/>
    <w:next w:val="3"/>
    <w:link w:val="4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10">
    <w:name w:val="heading 7"/>
    <w:basedOn w:val="1"/>
    <w:next w:val="3"/>
    <w:link w:val="4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11">
    <w:name w:val="heading 8"/>
    <w:basedOn w:val="1"/>
    <w:next w:val="3"/>
    <w:link w:val="4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2">
    <w:name w:val="heading 9"/>
    <w:basedOn w:val="1"/>
    <w:next w:val="3"/>
    <w:link w:val="4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23">
    <w:name w:val="Default Paragraph Font"/>
    <w:semiHidden/>
    <w:unhideWhenUsed/>
    <w:qFormat/>
    <w:uiPriority w:val="0"/>
  </w:style>
  <w:style w:type="table" w:default="1" w:styleId="22">
    <w:name w:val="Normal Table"/>
    <w:qFormat/>
    <w:uiPriority w:val="0"/>
    <w:tblPr>
      <w:tblCellMar>
        <w:top w:w="0" w:type="dxa"/>
        <w:left w:w="108" w:type="dxa"/>
        <w:bottom w:w="0" w:type="dxa"/>
        <w:right w:w="108" w:type="dxa"/>
      </w:tblCellMar>
    </w:tblPr>
  </w:style>
  <w:style w:type="paragraph" w:customStyle="1" w:styleId="2">
    <w:name w:val="Body Text First Indent1"/>
    <w:basedOn w:val="3"/>
    <w:qFormat/>
    <w:uiPriority w:val="0"/>
    <w:pPr>
      <w:ind w:firstLine="420" w:firstLineChars="100"/>
    </w:pPr>
    <w:rPr>
      <w:rFonts w:ascii="Times New Roman" w:hAnsi="Times New Roman"/>
    </w:rPr>
  </w:style>
  <w:style w:type="paragraph" w:styleId="3">
    <w:name w:val="Body Text"/>
    <w:basedOn w:val="1"/>
    <w:link w:val="26"/>
    <w:qFormat/>
    <w:uiPriority w:val="0"/>
    <w:pPr>
      <w:spacing w:before="180" w:after="180"/>
    </w:pPr>
  </w:style>
  <w:style w:type="paragraph" w:styleId="13">
    <w:name w:val="caption"/>
    <w:basedOn w:val="1"/>
    <w:qFormat/>
    <w:uiPriority w:val="0"/>
    <w:pPr>
      <w:spacing w:before="0" w:after="120"/>
    </w:pPr>
    <w:rPr>
      <w:i/>
    </w:rPr>
  </w:style>
  <w:style w:type="paragraph" w:styleId="14">
    <w:name w:val="Block Text"/>
    <w:basedOn w:val="3"/>
    <w:next w:val="3"/>
    <w:unhideWhenUsed/>
    <w:qFormat/>
    <w:uiPriority w:val="9"/>
    <w:pPr>
      <w:spacing w:before="100" w:after="100"/>
      <w:ind w:left="480" w:right="480" w:firstLine="0"/>
    </w:pPr>
  </w:style>
  <w:style w:type="paragraph" w:styleId="15">
    <w:name w:val="Date"/>
    <w:basedOn w:val="16"/>
    <w:next w:val="3"/>
    <w:qFormat/>
    <w:uiPriority w:val="0"/>
    <w:pPr>
      <w:keepNext/>
      <w:keepLines/>
    </w:pPr>
    <w:rPr>
      <w:sz w:val="24"/>
      <w:szCs w:val="24"/>
    </w:rPr>
  </w:style>
  <w:style w:type="paragraph" w:styleId="16">
    <w:name w:val="Title"/>
    <w:basedOn w:val="1"/>
    <w:next w:val="3"/>
    <w:link w:val="30"/>
    <w:qFormat/>
    <w:uiPriority w:val="10"/>
    <w:pPr>
      <w:spacing w:after="80" w:line="240" w:lineRule="auto"/>
      <w:contextualSpacing/>
      <w:jc w:val="center"/>
    </w:pPr>
    <w:rPr>
      <w:rFonts w:asciiTheme="majorHAnsi" w:hAnsiTheme="majorHAnsi" w:eastAsiaTheme="majorEastAsia" w:cstheme="majorBidi"/>
      <w:sz w:val="56"/>
      <w:szCs w:val="56"/>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9">
    <w:name w:val="Subtitle"/>
    <w:basedOn w:val="16"/>
    <w:next w:val="3"/>
    <w:link w:val="31"/>
    <w:qFormat/>
    <w:uiPriority w:val="11"/>
    <w:rPr>
      <w:rFonts w:eastAsiaTheme="majorEastAsia" w:cstheme="majorBidi"/>
      <w:spacing w:val="15"/>
      <w:sz w:val="28"/>
      <w:szCs w:val="28"/>
    </w:rPr>
  </w:style>
  <w:style w:type="paragraph" w:styleId="20">
    <w:name w:val="footnote text"/>
    <w:basedOn w:val="1"/>
    <w:unhideWhenUsed/>
    <w:qFormat/>
    <w:uiPriority w:val="9"/>
  </w:style>
  <w:style w:type="paragraph" w:styleId="21">
    <w:name w:val="Normal (Web)"/>
    <w:basedOn w:val="1"/>
    <w:qFormat/>
    <w:uiPriority w:val="0"/>
    <w:pPr>
      <w:spacing w:before="0" w:beforeAutospacing="1" w:after="0" w:afterAutospacing="1"/>
      <w:ind w:left="0" w:right="0"/>
      <w:jc w:val="left"/>
    </w:pPr>
    <w:rPr>
      <w:kern w:val="0"/>
      <w:sz w:val="24"/>
      <w:lang w:val="en-US" w:eastAsia="zh-CN" w:bidi="ar"/>
    </w:rPr>
  </w:style>
  <w:style w:type="character" w:styleId="24">
    <w:name w:val="Strong"/>
    <w:basedOn w:val="23"/>
    <w:qFormat/>
    <w:uiPriority w:val="0"/>
    <w:rPr>
      <w:b/>
    </w:rPr>
  </w:style>
  <w:style w:type="character" w:styleId="25">
    <w:name w:val="Hyperlink"/>
    <w:basedOn w:val="26"/>
    <w:qFormat/>
    <w:uiPriority w:val="0"/>
    <w:rPr>
      <w:color w:val="156082" w:themeColor="accent1"/>
      <w14:textFill>
        <w14:solidFill>
          <w14:schemeClr w14:val="accent1"/>
        </w14:solidFill>
      </w14:textFill>
    </w:rPr>
  </w:style>
  <w:style w:type="character" w:customStyle="1" w:styleId="26">
    <w:name w:val="Body Text Char"/>
    <w:basedOn w:val="23"/>
    <w:link w:val="3"/>
    <w:qFormat/>
    <w:uiPriority w:val="0"/>
  </w:style>
  <w:style w:type="character" w:styleId="27">
    <w:name w:val="footnote reference"/>
    <w:basedOn w:val="26"/>
    <w:qFormat/>
    <w:uiPriority w:val="0"/>
    <w:rPr>
      <w:vertAlign w:val="superscript"/>
    </w:rPr>
  </w:style>
  <w:style w:type="paragraph" w:customStyle="1" w:styleId="28">
    <w:name w:val="First Paragraph"/>
    <w:basedOn w:val="3"/>
    <w:next w:val="3"/>
    <w:qFormat/>
    <w:uiPriority w:val="0"/>
  </w:style>
  <w:style w:type="paragraph" w:customStyle="1" w:styleId="29">
    <w:name w:val="Compact"/>
    <w:basedOn w:val="3"/>
    <w:qFormat/>
    <w:uiPriority w:val="0"/>
    <w:pPr>
      <w:spacing w:before="36" w:after="36"/>
    </w:pPr>
  </w:style>
  <w:style w:type="character" w:customStyle="1" w:styleId="30">
    <w:name w:val="Title Char"/>
    <w:basedOn w:val="23"/>
    <w:link w:val="16"/>
    <w:qFormat/>
    <w:uiPriority w:val="10"/>
    <w:rPr>
      <w:rFonts w:asciiTheme="majorHAnsi" w:hAnsiTheme="majorHAnsi" w:eastAsiaTheme="majorEastAsia" w:cstheme="majorBidi"/>
      <w:sz w:val="56"/>
      <w:szCs w:val="56"/>
    </w:rPr>
  </w:style>
  <w:style w:type="character" w:customStyle="1" w:styleId="31">
    <w:name w:val="Subtitle Char"/>
    <w:basedOn w:val="23"/>
    <w:link w:val="19"/>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customStyle="1" w:styleId="32">
    <w:name w:val="Author"/>
    <w:basedOn w:val="16"/>
    <w:next w:val="3"/>
    <w:qFormat/>
    <w:uiPriority w:val="0"/>
    <w:pPr>
      <w:keepNext/>
      <w:keepLines/>
    </w:pPr>
    <w:rPr>
      <w:sz w:val="24"/>
      <w:szCs w:val="24"/>
    </w:rPr>
  </w:style>
  <w:style w:type="paragraph" w:customStyle="1" w:styleId="33">
    <w:name w:val="Abstract Title"/>
    <w:basedOn w:val="1"/>
    <w:next w:val="34"/>
    <w:qFormat/>
    <w:uiPriority w:val="0"/>
    <w:pPr>
      <w:keepNext/>
      <w:keepLines/>
      <w:spacing w:before="300" w:after="0"/>
      <w:jc w:val="center"/>
    </w:pPr>
    <w:rPr>
      <w:b/>
      <w:sz w:val="20"/>
      <w:szCs w:val="20"/>
    </w:rPr>
  </w:style>
  <w:style w:type="paragraph" w:customStyle="1" w:styleId="34">
    <w:name w:val="Abstract"/>
    <w:basedOn w:val="1"/>
    <w:next w:val="3"/>
    <w:qFormat/>
    <w:uiPriority w:val="0"/>
    <w:pPr>
      <w:keepNext/>
      <w:keepLines/>
      <w:spacing w:before="100" w:after="300"/>
    </w:pPr>
    <w:rPr>
      <w:sz w:val="20"/>
      <w:szCs w:val="20"/>
    </w:rPr>
  </w:style>
  <w:style w:type="paragraph" w:customStyle="1" w:styleId="35">
    <w:name w:val="Bibliography"/>
    <w:basedOn w:val="1"/>
    <w:qFormat/>
    <w:uiPriority w:val="0"/>
  </w:style>
  <w:style w:type="character" w:customStyle="1" w:styleId="36">
    <w:name w:val="Heading 1 Char"/>
    <w:basedOn w:val="23"/>
    <w:link w:val="4"/>
    <w:qFormat/>
    <w:uiPriority w:val="9"/>
    <w:rPr>
      <w:rFonts w:asciiTheme="majorHAnsi" w:hAnsiTheme="majorHAnsi" w:eastAsiaTheme="majorEastAsia" w:cstheme="majorBidi"/>
      <w:color w:val="104862" w:themeColor="accent1" w:themeShade="BF"/>
      <w:sz w:val="40"/>
      <w:szCs w:val="40"/>
    </w:rPr>
  </w:style>
  <w:style w:type="character" w:customStyle="1" w:styleId="37">
    <w:name w:val="Heading 2 Char"/>
    <w:basedOn w:val="23"/>
    <w:link w:val="5"/>
    <w:semiHidden/>
    <w:qFormat/>
    <w:uiPriority w:val="9"/>
    <w:rPr>
      <w:rFonts w:asciiTheme="majorHAnsi" w:hAnsiTheme="majorHAnsi" w:eastAsiaTheme="majorEastAsia" w:cstheme="majorBidi"/>
      <w:color w:val="104862" w:themeColor="accent1" w:themeShade="BF"/>
      <w:sz w:val="32"/>
      <w:szCs w:val="32"/>
    </w:rPr>
  </w:style>
  <w:style w:type="character" w:customStyle="1" w:styleId="38">
    <w:name w:val="Heading 3 Char"/>
    <w:basedOn w:val="23"/>
    <w:link w:val="6"/>
    <w:semiHidden/>
    <w:qFormat/>
    <w:uiPriority w:val="9"/>
    <w:rPr>
      <w:rFonts w:eastAsiaTheme="majorEastAsia" w:cstheme="majorBidi"/>
      <w:color w:val="104862" w:themeColor="accent1" w:themeShade="BF"/>
      <w:sz w:val="28"/>
      <w:szCs w:val="28"/>
    </w:rPr>
  </w:style>
  <w:style w:type="character" w:customStyle="1" w:styleId="39">
    <w:name w:val="Heading 4 Char"/>
    <w:basedOn w:val="23"/>
    <w:link w:val="7"/>
    <w:semiHidden/>
    <w:qFormat/>
    <w:uiPriority w:val="9"/>
    <w:rPr>
      <w:rFonts w:eastAsiaTheme="majorEastAsia" w:cstheme="majorBidi"/>
      <w:i/>
      <w:iCs/>
      <w:color w:val="104862" w:themeColor="accent1" w:themeShade="BF"/>
    </w:rPr>
  </w:style>
  <w:style w:type="character" w:customStyle="1" w:styleId="40">
    <w:name w:val="Heading 5 Char"/>
    <w:basedOn w:val="23"/>
    <w:link w:val="8"/>
    <w:semiHidden/>
    <w:qFormat/>
    <w:uiPriority w:val="9"/>
    <w:rPr>
      <w:rFonts w:eastAsiaTheme="majorEastAsia" w:cstheme="majorBidi"/>
      <w:color w:val="104862" w:themeColor="accent1" w:themeShade="BF"/>
    </w:rPr>
  </w:style>
  <w:style w:type="character" w:customStyle="1" w:styleId="41">
    <w:name w:val="Heading 6 Char"/>
    <w:basedOn w:val="23"/>
    <w:link w:val="9"/>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42">
    <w:name w:val="Heading 7 Char"/>
    <w:basedOn w:val="23"/>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3">
    <w:name w:val="Heading 8 Char"/>
    <w:basedOn w:val="23"/>
    <w:link w:val="11"/>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44">
    <w:name w:val="Heading 9 Char"/>
    <w:basedOn w:val="23"/>
    <w:link w:val="12"/>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paragraph" w:customStyle="1" w:styleId="45">
    <w:name w:val="Footnote Block Text"/>
    <w:basedOn w:val="20"/>
    <w:next w:val="20"/>
    <w:unhideWhenUsed/>
    <w:qFormat/>
    <w:uiPriority w:val="9"/>
    <w:pPr>
      <w:spacing w:before="100" w:after="100"/>
      <w:ind w:left="480" w:right="480" w:firstLine="0"/>
    </w:pPr>
  </w:style>
  <w:style w:type="table" w:customStyle="1" w:styleId="46">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47">
    <w:name w:val="Definition Term"/>
    <w:basedOn w:val="1"/>
    <w:next w:val="48"/>
    <w:qFormat/>
    <w:uiPriority w:val="0"/>
    <w:pPr>
      <w:keepNext/>
      <w:keepLines/>
      <w:spacing w:after="0"/>
    </w:pPr>
    <w:rPr>
      <w:b/>
    </w:rPr>
  </w:style>
  <w:style w:type="paragraph" w:customStyle="1" w:styleId="48">
    <w:name w:val="Definition"/>
    <w:basedOn w:val="1"/>
    <w:qFormat/>
    <w:uiPriority w:val="0"/>
  </w:style>
  <w:style w:type="paragraph" w:customStyle="1" w:styleId="49">
    <w:name w:val="Table Caption"/>
    <w:basedOn w:val="13"/>
    <w:qFormat/>
    <w:uiPriority w:val="0"/>
    <w:pPr>
      <w:keepNext/>
    </w:pPr>
  </w:style>
  <w:style w:type="paragraph" w:customStyle="1" w:styleId="50">
    <w:name w:val="Image Caption"/>
    <w:basedOn w:val="13"/>
    <w:qFormat/>
    <w:uiPriority w:val="0"/>
  </w:style>
  <w:style w:type="paragraph" w:customStyle="1" w:styleId="51">
    <w:name w:val="Figure"/>
    <w:basedOn w:val="1"/>
    <w:qFormat/>
    <w:uiPriority w:val="0"/>
  </w:style>
  <w:style w:type="paragraph" w:customStyle="1" w:styleId="52">
    <w:name w:val="Captioned Figure"/>
    <w:basedOn w:val="51"/>
    <w:qFormat/>
    <w:uiPriority w:val="0"/>
    <w:pPr>
      <w:keepNext/>
    </w:pPr>
  </w:style>
  <w:style w:type="character" w:customStyle="1" w:styleId="53">
    <w:name w:val="Verbatim Char"/>
    <w:basedOn w:val="26"/>
    <w:link w:val="54"/>
    <w:qFormat/>
    <w:uiPriority w:val="0"/>
    <w:rPr>
      <w:rFonts w:ascii="Consolas" w:hAnsi="Consolas"/>
      <w:sz w:val="22"/>
    </w:rPr>
  </w:style>
  <w:style w:type="paragraph" w:customStyle="1" w:styleId="54">
    <w:name w:val="Source Code"/>
    <w:basedOn w:val="1"/>
    <w:link w:val="53"/>
    <w:qFormat/>
    <w:uiPriority w:val="0"/>
    <w:pPr>
      <w:wordWrap w:val="0"/>
    </w:pPr>
  </w:style>
  <w:style w:type="character" w:customStyle="1" w:styleId="55">
    <w:name w:val="Section Number"/>
    <w:basedOn w:val="26"/>
    <w:qFormat/>
    <w:uiPriority w:val="0"/>
  </w:style>
  <w:style w:type="paragraph" w:customStyle="1" w:styleId="56">
    <w:name w:val="TOC Heading"/>
    <w:basedOn w:val="4"/>
    <w:next w:val="3"/>
    <w:unhideWhenUsed/>
    <w:qFormat/>
    <w:uiPriority w:val="39"/>
    <w:pPr>
      <w:spacing w:before="240" w:line="259" w:lineRule="auto"/>
      <w:outlineLvl w:val="9"/>
    </w:pPr>
    <w:rPr>
      <w:rFonts w:asciiTheme="majorHAnsi" w:hAnsiTheme="majorHAnsi" w:eastAsiaTheme="majorEastAsia" w:cstheme="majorBidi"/>
      <w:color w:val="104862" w:themeColor="accent1" w:themeShade="BF"/>
    </w:rPr>
  </w:style>
  <w:style w:type="character" w:customStyle="1" w:styleId="57">
    <w:name w:val="KeywordTok"/>
    <w:basedOn w:val="53"/>
    <w:qFormat/>
    <w:uiPriority w:val="0"/>
    <w:rPr>
      <w:b/>
      <w:color w:val="007020"/>
    </w:rPr>
  </w:style>
  <w:style w:type="character" w:customStyle="1" w:styleId="58">
    <w:name w:val="DataTypeTok"/>
    <w:basedOn w:val="53"/>
    <w:qFormat/>
    <w:uiPriority w:val="0"/>
    <w:rPr>
      <w:color w:val="902000"/>
    </w:rPr>
  </w:style>
  <w:style w:type="character" w:customStyle="1" w:styleId="59">
    <w:name w:val="DecValTok"/>
    <w:basedOn w:val="53"/>
    <w:qFormat/>
    <w:uiPriority w:val="0"/>
    <w:rPr>
      <w:color w:val="40A070"/>
    </w:rPr>
  </w:style>
  <w:style w:type="character" w:customStyle="1" w:styleId="60">
    <w:name w:val="BaseNTok"/>
    <w:basedOn w:val="53"/>
    <w:qFormat/>
    <w:uiPriority w:val="0"/>
    <w:rPr>
      <w:color w:val="40A070"/>
    </w:rPr>
  </w:style>
  <w:style w:type="character" w:customStyle="1" w:styleId="61">
    <w:name w:val="FloatTok"/>
    <w:basedOn w:val="53"/>
    <w:qFormat/>
    <w:uiPriority w:val="0"/>
    <w:rPr>
      <w:color w:val="40A070"/>
    </w:rPr>
  </w:style>
  <w:style w:type="character" w:customStyle="1" w:styleId="62">
    <w:name w:val="ConstantTok"/>
    <w:basedOn w:val="53"/>
    <w:qFormat/>
    <w:uiPriority w:val="0"/>
    <w:rPr>
      <w:color w:val="880000"/>
    </w:rPr>
  </w:style>
  <w:style w:type="character" w:customStyle="1" w:styleId="63">
    <w:name w:val="CharTok"/>
    <w:basedOn w:val="53"/>
    <w:qFormat/>
    <w:uiPriority w:val="0"/>
    <w:rPr>
      <w:color w:val="4070A0"/>
    </w:rPr>
  </w:style>
  <w:style w:type="character" w:customStyle="1" w:styleId="64">
    <w:name w:val="SpecialCharTok"/>
    <w:basedOn w:val="53"/>
    <w:qFormat/>
    <w:uiPriority w:val="0"/>
    <w:rPr>
      <w:color w:val="4070A0"/>
    </w:rPr>
  </w:style>
  <w:style w:type="character" w:customStyle="1" w:styleId="65">
    <w:name w:val="StringTok"/>
    <w:basedOn w:val="53"/>
    <w:qFormat/>
    <w:uiPriority w:val="0"/>
    <w:rPr>
      <w:color w:val="4070A0"/>
    </w:rPr>
  </w:style>
  <w:style w:type="character" w:customStyle="1" w:styleId="66">
    <w:name w:val="VerbatimStringTok"/>
    <w:basedOn w:val="53"/>
    <w:qFormat/>
    <w:uiPriority w:val="0"/>
    <w:rPr>
      <w:color w:val="4070A0"/>
    </w:rPr>
  </w:style>
  <w:style w:type="character" w:customStyle="1" w:styleId="67">
    <w:name w:val="SpecialStringTok"/>
    <w:basedOn w:val="53"/>
    <w:qFormat/>
    <w:uiPriority w:val="0"/>
    <w:rPr>
      <w:color w:val="BB6688"/>
    </w:rPr>
  </w:style>
  <w:style w:type="character" w:customStyle="1" w:styleId="68">
    <w:name w:val="ImportTok"/>
    <w:basedOn w:val="53"/>
    <w:qFormat/>
    <w:uiPriority w:val="0"/>
    <w:rPr>
      <w:b/>
      <w:color w:val="008000"/>
    </w:rPr>
  </w:style>
  <w:style w:type="character" w:customStyle="1" w:styleId="69">
    <w:name w:val="CommentTok"/>
    <w:basedOn w:val="53"/>
    <w:qFormat/>
    <w:uiPriority w:val="0"/>
    <w:rPr>
      <w:i/>
      <w:color w:val="60A0B0"/>
    </w:rPr>
  </w:style>
  <w:style w:type="character" w:customStyle="1" w:styleId="70">
    <w:name w:val="DocumentationTok"/>
    <w:basedOn w:val="53"/>
    <w:qFormat/>
    <w:uiPriority w:val="0"/>
    <w:rPr>
      <w:i/>
      <w:color w:val="BA2121"/>
    </w:rPr>
  </w:style>
  <w:style w:type="character" w:customStyle="1" w:styleId="71">
    <w:name w:val="AnnotationTok"/>
    <w:basedOn w:val="53"/>
    <w:qFormat/>
    <w:uiPriority w:val="0"/>
    <w:rPr>
      <w:b/>
      <w:i/>
      <w:color w:val="60A0B0"/>
    </w:rPr>
  </w:style>
  <w:style w:type="character" w:customStyle="1" w:styleId="72">
    <w:name w:val="CommentVarTok"/>
    <w:basedOn w:val="53"/>
    <w:qFormat/>
    <w:uiPriority w:val="0"/>
    <w:rPr>
      <w:b/>
      <w:i/>
      <w:color w:val="60A0B0"/>
    </w:rPr>
  </w:style>
  <w:style w:type="character" w:customStyle="1" w:styleId="73">
    <w:name w:val="OtherTok"/>
    <w:basedOn w:val="53"/>
    <w:qFormat/>
    <w:uiPriority w:val="0"/>
    <w:rPr>
      <w:color w:val="007020"/>
    </w:rPr>
  </w:style>
  <w:style w:type="character" w:customStyle="1" w:styleId="74">
    <w:name w:val="FunctionTok"/>
    <w:basedOn w:val="53"/>
    <w:qFormat/>
    <w:uiPriority w:val="0"/>
    <w:rPr>
      <w:color w:val="06287E"/>
    </w:rPr>
  </w:style>
  <w:style w:type="character" w:customStyle="1" w:styleId="75">
    <w:name w:val="VariableTok"/>
    <w:basedOn w:val="53"/>
    <w:qFormat/>
    <w:uiPriority w:val="0"/>
    <w:rPr>
      <w:color w:val="19177C"/>
    </w:rPr>
  </w:style>
  <w:style w:type="character" w:customStyle="1" w:styleId="76">
    <w:name w:val="ControlFlowTok"/>
    <w:basedOn w:val="53"/>
    <w:qFormat/>
    <w:uiPriority w:val="0"/>
    <w:rPr>
      <w:b/>
      <w:color w:val="007020"/>
    </w:rPr>
  </w:style>
  <w:style w:type="character" w:customStyle="1" w:styleId="77">
    <w:name w:val="OperatorTok"/>
    <w:basedOn w:val="53"/>
    <w:qFormat/>
    <w:uiPriority w:val="0"/>
    <w:rPr>
      <w:color w:val="666666"/>
    </w:rPr>
  </w:style>
  <w:style w:type="character" w:customStyle="1" w:styleId="78">
    <w:name w:val="BuiltInTok"/>
    <w:basedOn w:val="53"/>
    <w:qFormat/>
    <w:uiPriority w:val="0"/>
    <w:rPr>
      <w:color w:val="008000"/>
    </w:rPr>
  </w:style>
  <w:style w:type="character" w:customStyle="1" w:styleId="79">
    <w:name w:val="ExtensionTok"/>
    <w:basedOn w:val="53"/>
    <w:qFormat/>
    <w:uiPriority w:val="0"/>
  </w:style>
  <w:style w:type="character" w:customStyle="1" w:styleId="80">
    <w:name w:val="PreprocessorTok"/>
    <w:basedOn w:val="53"/>
    <w:qFormat/>
    <w:uiPriority w:val="0"/>
    <w:rPr>
      <w:color w:val="BC7A00"/>
    </w:rPr>
  </w:style>
  <w:style w:type="character" w:customStyle="1" w:styleId="81">
    <w:name w:val="AttributeTok"/>
    <w:basedOn w:val="53"/>
    <w:qFormat/>
    <w:uiPriority w:val="0"/>
    <w:rPr>
      <w:color w:val="7D9029"/>
    </w:rPr>
  </w:style>
  <w:style w:type="character" w:customStyle="1" w:styleId="82">
    <w:name w:val="RegionMarkerTok"/>
    <w:basedOn w:val="53"/>
    <w:qFormat/>
    <w:uiPriority w:val="0"/>
  </w:style>
  <w:style w:type="character" w:customStyle="1" w:styleId="83">
    <w:name w:val="InformationTok"/>
    <w:basedOn w:val="53"/>
    <w:qFormat/>
    <w:uiPriority w:val="0"/>
    <w:rPr>
      <w:b/>
      <w:i/>
      <w:color w:val="60A0B0"/>
    </w:rPr>
  </w:style>
  <w:style w:type="character" w:customStyle="1" w:styleId="84">
    <w:name w:val="WarningTok"/>
    <w:basedOn w:val="53"/>
    <w:qFormat/>
    <w:uiPriority w:val="0"/>
    <w:rPr>
      <w:b/>
      <w:i/>
      <w:color w:val="60A0B0"/>
    </w:rPr>
  </w:style>
  <w:style w:type="character" w:customStyle="1" w:styleId="85">
    <w:name w:val="AlertTok"/>
    <w:basedOn w:val="53"/>
    <w:qFormat/>
    <w:uiPriority w:val="0"/>
    <w:rPr>
      <w:b/>
      <w:color w:val="FF0000"/>
    </w:rPr>
  </w:style>
  <w:style w:type="character" w:customStyle="1" w:styleId="86">
    <w:name w:val="ErrorTok"/>
    <w:basedOn w:val="53"/>
    <w:qFormat/>
    <w:uiPriority w:val="0"/>
    <w:rPr>
      <w:b/>
      <w:color w:val="FF0000"/>
    </w:rPr>
  </w:style>
  <w:style w:type="character" w:customStyle="1" w:styleId="87">
    <w:name w:val="NormalTok"/>
    <w:basedOn w:val="53"/>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9f1e0088-430f-4d07-b2f5-c301fb252dd7</errorID>
      <errorWord>原办法</errorWord>
      <group>L1_Punc</group>
      <groupName>标点问题</groupName>
      <ability>L2_Punc_CN</ability>
      <abilityName>标点符号问题</abilityName>
      <candidateList>
        <item>《原办法》</item>
      </candidateList>
      <explain/>
      <paraID> 80DC869</paraID>
      <start>0</start>
      <end>5</end>
      <status>modified</status>
      <modifiedWord>《原办法》</modifiedWord>
      <trackRevisions>false</trackRevisions>
    </reviewItem>
    <reviewItem>
      <errorID>c7df7905-603f-4f30-a8a7-5bd26a1bec12</errorID>
      <errorWord>通过明确</errorWord>
      <group>L1_Grammar</group>
      <groupName>语法问题</groupName>
      <ability>L2_Grammar</ability>
      <abilityName>语法错误</abilityName>
      <candidateList>
        <item>明确</item>
      </candidateList>
      <explain/>
      <paraID>71258498</paraID>
      <start>156</start>
      <end>160</end>
      <status>ignored</status>
      <modifiedWord/>
      <trackRevisions>false</trackRevisions>
    </reviewItem>
    <reviewItem>
      <errorID>ab58deb1-f75f-4b60-8dfd-5542d9ec422b</errorID>
      <errorWord>29</errorWord>
      <group>L1_Word</group>
      <groupName>字词问题</groupName>
      <ability>L2_Typo</ability>
      <abilityName>字词错误</abilityName>
      <candidateList>
        <item>28</item>
      </candidateList>
      <explain/>
      <paraID>74F38585</paraID>
      <start>11</start>
      <end>13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b32050-897f-437d-882b-a45b59cc4993}">
  <ds:schemaRefs/>
</ds:datastoreItem>
</file>

<file path=docProps/app.xml><?xml version="1.0" encoding="utf-8"?>
<Properties xmlns="http://schemas.openxmlformats.org/officeDocument/2006/extended-properties" xmlns:vt="http://schemas.openxmlformats.org/officeDocument/2006/docPropsVTypes">
  <Template>Normal.dotm</Template>
  <Pages>5</Pages>
  <Words>2778</Words>
  <Characters>2829</Characters>
  <Lines>12</Lines>
  <Paragraphs>8</Paragraphs>
  <TotalTime>63</TotalTime>
  <ScaleCrop>false</ScaleCrop>
  <LinksUpToDate>false</LinksUpToDate>
  <CharactersWithSpaces>2845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2026-08-21T06:51:00Z</dcterms:created>
  <dc:creator>小舟</dc:creator>
  <cp:lastModifiedBy>Huifen</cp:lastModifiedBy>
  <dcterms:modified xsi:type="dcterms:W3CDTF">2026-09-16T09:44:37Z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eyJoZGlkIjoiMzc3ZTQxMGEyMjcxOGY5ZjNkMjRhNTY1MWM3YWJlNTQiLCJ1c2VySWQiOiIzMzMyMDA2MTYifQ==</vt:lpwstr>
  </property>
  <property fmtid="{D5CDD505-2E9C-101B-9397-08002B2CF9AE}" pid="3" name="KSOProductBuildVer">
    <vt:lpwstr>2052-12.1.0.28505</vt:lpwstr>
  </property>
  <property fmtid="{D5CDD505-2E9C-101B-9397-08002B2CF9AE}" pid="4" name="ICV">
    <vt:lpwstr>7B5C0B15F55749FAAFC8491D24CC8BB1_13</vt:lpwstr>
  </property>
</Properties>
</file>