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DB91B">
      <w:pPr>
        <w:spacing w:line="560" w:lineRule="exact"/>
        <w:jc w:val="left"/>
        <w:rPr>
          <w:rFonts w:ascii="Times New Roman" w:hAnsi="Times New Roman" w:eastAsia="黑体" w:cs="黑体"/>
          <w:sz w:val="32"/>
        </w:rPr>
      </w:pPr>
      <w:r>
        <w:rPr>
          <w:rFonts w:hint="eastAsia" w:ascii="Times New Roman" w:hAnsi="Times New Roman" w:eastAsia="黑体" w:cs="黑体"/>
          <w:sz w:val="32"/>
        </w:rPr>
        <w:t>附件1</w:t>
      </w:r>
    </w:p>
    <w:p w14:paraId="017323DE">
      <w:pPr>
        <w:spacing w:line="560" w:lineRule="exact"/>
        <w:jc w:val="center"/>
        <w:rPr>
          <w:rFonts w:ascii="Times New Roman" w:hAnsi="Times New Roman" w:eastAsia="仿宋_GB2312" w:cs="宋体"/>
          <w:kern w:val="0"/>
          <w:sz w:val="32"/>
          <w:szCs w:val="32"/>
        </w:rPr>
      </w:pPr>
      <w:bookmarkStart w:id="0" w:name="_Hlk189932331"/>
    </w:p>
    <w:p w14:paraId="3933B412">
      <w:pPr>
        <w:spacing w:line="560" w:lineRule="exact"/>
        <w:jc w:val="center"/>
        <w:rPr>
          <w:rFonts w:ascii="Times New Roman" w:hAnsi="Times New Roman" w:cs="宋体"/>
          <w:b/>
          <w:bCs/>
          <w:kern w:val="0"/>
          <w:sz w:val="44"/>
          <w:szCs w:val="44"/>
        </w:rPr>
      </w:pPr>
      <w:r>
        <w:rPr>
          <w:rFonts w:hint="eastAsia" w:ascii="Times New Roman" w:hAnsi="Times New Roman" w:cs="宋体"/>
          <w:b/>
          <w:bCs/>
          <w:kern w:val="0"/>
          <w:sz w:val="44"/>
          <w:szCs w:val="44"/>
        </w:rPr>
        <w:t>开平健康产业创业投资基金管理机构</w:t>
      </w:r>
    </w:p>
    <w:p w14:paraId="0F8FE7C4">
      <w:pPr>
        <w:spacing w:line="560" w:lineRule="exact"/>
        <w:jc w:val="center"/>
        <w:rPr>
          <w:rFonts w:ascii="Times New Roman" w:hAnsi="Times New Roman" w:cs="宋体"/>
          <w:b/>
          <w:bCs/>
          <w:kern w:val="0"/>
          <w:sz w:val="44"/>
          <w:szCs w:val="44"/>
        </w:rPr>
      </w:pPr>
      <w:r>
        <w:rPr>
          <w:rFonts w:hint="eastAsia" w:ascii="Times New Roman" w:hAnsi="Times New Roman" w:cs="宋体"/>
          <w:b/>
          <w:bCs/>
          <w:kern w:val="0"/>
          <w:sz w:val="44"/>
          <w:szCs w:val="44"/>
        </w:rPr>
        <w:t>公开遴选申报指南</w:t>
      </w:r>
    </w:p>
    <w:bookmarkEnd w:id="0"/>
    <w:p w14:paraId="1EBB0540">
      <w:pPr>
        <w:spacing w:line="560" w:lineRule="exact"/>
        <w:jc w:val="center"/>
        <w:rPr>
          <w:rFonts w:ascii="Times New Roman" w:hAnsi="Times New Roman" w:cs="宋体"/>
          <w:b/>
          <w:kern w:val="0"/>
          <w:sz w:val="44"/>
          <w:szCs w:val="44"/>
        </w:rPr>
      </w:pPr>
    </w:p>
    <w:p w14:paraId="136370E2">
      <w:pPr>
        <w:numPr>
          <w:ilvl w:val="0"/>
          <w:numId w:val="1"/>
        </w:numPr>
        <w:spacing w:line="560" w:lineRule="exact"/>
        <w:ind w:firstLine="640" w:firstLineChars="200"/>
      </w:pPr>
      <w:r>
        <w:rPr>
          <w:rFonts w:hint="eastAsia" w:ascii="Times New Roman" w:hAnsi="Times New Roman" w:eastAsia="黑体" w:cs="宋体"/>
          <w:kern w:val="0"/>
          <w:sz w:val="32"/>
          <w:szCs w:val="32"/>
        </w:rPr>
        <w:t>基金要素</w:t>
      </w:r>
    </w:p>
    <w:p w14:paraId="3088F773">
      <w:pPr>
        <w:spacing w:line="560" w:lineRule="exact"/>
        <w:ind w:firstLine="640" w:firstLineChars="200"/>
        <w:rPr>
          <w:rFonts w:ascii="Times New Roman" w:hAnsi="Times New Roman"/>
          <w:kern w:val="0"/>
          <w:sz w:val="32"/>
        </w:rPr>
      </w:pPr>
      <w:r>
        <w:rPr>
          <w:rFonts w:hint="eastAsia" w:ascii="Times New Roman" w:hAnsi="Times New Roman" w:eastAsia="仿宋_GB2312" w:cs="宋体"/>
          <w:kern w:val="0"/>
          <w:sz w:val="32"/>
          <w:szCs w:val="32"/>
        </w:rPr>
        <w:t>申报单位须在下列要素的基本要求上，根据自身情况，逐条提出明确、可量化、有竞争力的安排和阐述，按附件格式要求形成基金申报方案。</w:t>
      </w:r>
    </w:p>
    <w:p w14:paraId="1189C47B">
      <w:pPr>
        <w:numPr>
          <w:ilvl w:val="0"/>
          <w:numId w:val="2"/>
        </w:numPr>
        <w:ind w:firstLine="630" w:firstLineChars="196"/>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基金名称：</w:t>
      </w:r>
      <w:r>
        <w:rPr>
          <w:rFonts w:hint="eastAsia" w:ascii="Times New Roman" w:hAnsi="Times New Roman" w:eastAsia="仿宋_GB2312" w:cs="宋体"/>
          <w:bCs/>
          <w:kern w:val="0"/>
          <w:sz w:val="32"/>
          <w:szCs w:val="32"/>
        </w:rPr>
        <w:t>开平健康产业创业投资基金</w:t>
      </w:r>
      <w:r>
        <w:rPr>
          <w:rFonts w:hint="eastAsia" w:ascii="Times New Roman" w:hAnsi="Times New Roman" w:eastAsia="仿宋_GB2312" w:cs="宋体"/>
          <w:kern w:val="0"/>
          <w:sz w:val="32"/>
          <w:szCs w:val="32"/>
        </w:rPr>
        <w:t>（拟定名）（以下简称“基金”）。</w:t>
      </w:r>
    </w:p>
    <w:p w14:paraId="6D436405">
      <w:pPr>
        <w:numPr>
          <w:ilvl w:val="0"/>
          <w:numId w:val="2"/>
        </w:numPr>
        <w:ind w:firstLine="630" w:firstLineChars="196"/>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基金组织类型：</w:t>
      </w:r>
      <w:r>
        <w:rPr>
          <w:rFonts w:hint="eastAsia" w:ascii="Times New Roman" w:hAnsi="Times New Roman" w:eastAsia="仿宋_GB2312" w:cs="宋体"/>
          <w:kern w:val="0"/>
          <w:sz w:val="32"/>
          <w:szCs w:val="32"/>
        </w:rPr>
        <w:t>有限合伙企业。</w:t>
      </w:r>
    </w:p>
    <w:p w14:paraId="4D60FCA4">
      <w:pPr>
        <w:numPr>
          <w:ilvl w:val="0"/>
          <w:numId w:val="2"/>
        </w:numPr>
        <w:ind w:firstLine="630" w:firstLineChars="196"/>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基金规模：</w:t>
      </w:r>
      <w:r>
        <w:rPr>
          <w:rFonts w:hint="eastAsia" w:ascii="Times New Roman" w:hAnsi="Times New Roman" w:eastAsia="仿宋_GB2312" w:cs="宋体"/>
          <w:kern w:val="0"/>
          <w:sz w:val="32"/>
          <w:szCs w:val="32"/>
        </w:rPr>
        <w:t>基金规模约5亿元，分期缴付。</w:t>
      </w:r>
    </w:p>
    <w:p w14:paraId="1CC8FDEA">
      <w:pPr>
        <w:numPr>
          <w:ilvl w:val="0"/>
          <w:numId w:val="2"/>
        </w:numPr>
        <w:ind w:firstLine="630" w:firstLineChars="196"/>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出资结构和要求</w:t>
      </w:r>
    </w:p>
    <w:p w14:paraId="721774A8">
      <w:pPr>
        <w:numPr>
          <w:numId w:val="0"/>
        </w:numPr>
        <w:ind w:firstLine="640" w:firstLineChars="200"/>
        <w:rPr>
          <w:rFonts w:hint="eastAsia" w:eastAsia="仿宋_GB2312"/>
          <w:lang w:eastAsia="zh-CN"/>
        </w:rPr>
      </w:pPr>
      <w:r>
        <w:rPr>
          <w:rFonts w:hint="eastAsia" w:ascii="Times New Roman" w:hAnsi="Times New Roman" w:eastAsia="仿宋_GB2312" w:cs="宋体"/>
          <w:kern w:val="0"/>
          <w:sz w:val="32"/>
          <w:szCs w:val="32"/>
          <w:lang w:val="en-US" w:eastAsia="zh-CN"/>
        </w:rPr>
        <w:t>1.</w:t>
      </w:r>
      <w:r>
        <w:rPr>
          <w:rFonts w:hint="eastAsia" w:ascii="Times New Roman" w:hAnsi="Times New Roman" w:eastAsia="仿宋_GB2312" w:cs="宋体"/>
          <w:kern w:val="0"/>
          <w:sz w:val="32"/>
          <w:szCs w:val="32"/>
        </w:rPr>
        <w:t>翠山湖投控集团公司出资不超过基金备案规模的99.8%，基金对参股子基金的认缴比例原则上不超过70%，其余部分出资由基金管理人自行募集；</w:t>
      </w:r>
    </w:p>
    <w:p w14:paraId="1D9CE633">
      <w:pPr>
        <w:numPr>
          <w:numId w:val="0"/>
        </w:numPr>
        <w:ind w:firstLine="640" w:firstLineChars="200"/>
        <w:rPr>
          <w:rFonts w:hint="eastAsia" w:eastAsia="仿宋_GB2312"/>
          <w:lang w:eastAsia="zh-CN"/>
        </w:rPr>
      </w:pPr>
      <w:r>
        <w:rPr>
          <w:rFonts w:hint="eastAsia" w:ascii="Times New Roman" w:hAnsi="Times New Roman" w:eastAsia="仿宋_GB2312" w:cs="宋体"/>
          <w:kern w:val="0"/>
          <w:sz w:val="32"/>
          <w:szCs w:val="32"/>
          <w:lang w:val="en-US" w:eastAsia="zh-CN"/>
        </w:rPr>
        <w:t>2.</w:t>
      </w:r>
      <w:r>
        <w:rPr>
          <w:rFonts w:hint="eastAsia" w:ascii="Times New Roman" w:hAnsi="Times New Roman" w:eastAsia="仿宋_GB2312" w:cs="宋体"/>
          <w:kern w:val="0"/>
          <w:sz w:val="32"/>
          <w:szCs w:val="32"/>
        </w:rPr>
        <w:t>出资方式采取认缴制，首期实缴出资用于中国证券投资基金业协会（以下简称“中基协”）备案。原则上基金按照投资项目进度进行实缴出资；</w:t>
      </w:r>
    </w:p>
    <w:p w14:paraId="46097EDB">
      <w:pPr>
        <w:numPr>
          <w:numId w:val="0"/>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lang w:val="en-US" w:eastAsia="zh-CN"/>
        </w:rPr>
        <w:t>3.</w:t>
      </w:r>
      <w:r>
        <w:rPr>
          <w:rFonts w:hint="eastAsia" w:ascii="Times New Roman" w:hAnsi="Times New Roman" w:eastAsia="仿宋_GB2312" w:cs="宋体"/>
          <w:kern w:val="0"/>
          <w:sz w:val="32"/>
          <w:szCs w:val="32"/>
        </w:rPr>
        <w:t>基金对单支子基金每期出资款均在其他出资人（含普通合伙人）全部完成出资后缴付，并按其他出资人的最低实缴比例实缴；</w:t>
      </w:r>
    </w:p>
    <w:p w14:paraId="75547631">
      <w:pPr>
        <w:numPr>
          <w:numId w:val="0"/>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lang w:val="en-US" w:eastAsia="zh-CN"/>
        </w:rPr>
        <w:t>4.</w:t>
      </w:r>
      <w:r>
        <w:rPr>
          <w:rFonts w:hint="eastAsia" w:ascii="Times New Roman" w:hAnsi="Times New Roman" w:eastAsia="仿宋_GB2312" w:cs="宋体"/>
          <w:kern w:val="0"/>
          <w:sz w:val="32"/>
          <w:szCs w:val="32"/>
        </w:rPr>
        <w:t>管理机构提出的具体基金架构安排，应确保满足中基协备案要求。</w:t>
      </w:r>
    </w:p>
    <w:p w14:paraId="44471F73">
      <w:pPr>
        <w:numPr>
          <w:ilvl w:val="0"/>
          <w:numId w:val="2"/>
        </w:numPr>
        <w:ind w:firstLine="630" w:firstLineChars="196"/>
        <w:rPr>
          <w:rFonts w:ascii="Times New Roman" w:hAnsi="Times New Roman" w:eastAsia="仿宋_GB2312" w:cs="宋体"/>
          <w:b/>
          <w:kern w:val="0"/>
          <w:sz w:val="32"/>
          <w:szCs w:val="32"/>
        </w:rPr>
      </w:pPr>
      <w:r>
        <w:rPr>
          <w:rFonts w:hint="eastAsia" w:ascii="Times New Roman" w:hAnsi="Times New Roman" w:eastAsia="仿宋_GB2312" w:cs="宋体"/>
          <w:b/>
          <w:kern w:val="0"/>
          <w:sz w:val="32"/>
          <w:szCs w:val="32"/>
        </w:rPr>
        <w:t>存续期限：</w:t>
      </w:r>
      <w:r>
        <w:rPr>
          <w:rFonts w:ascii="Times New Roman" w:hAnsi="Times New Roman" w:eastAsia="仿宋_GB2312" w:cs="宋体"/>
          <w:bCs/>
          <w:kern w:val="0"/>
          <w:sz w:val="32"/>
          <w:szCs w:val="32"/>
        </w:rPr>
        <w:t>基金存续期为 8 年，其中投资期 5 年，退出期3年；经合伙人会议审议通过，可延长不超过 2 年。</w:t>
      </w:r>
    </w:p>
    <w:p w14:paraId="778E5D1C">
      <w:pPr>
        <w:numPr>
          <w:ilvl w:val="0"/>
          <w:numId w:val="2"/>
        </w:numPr>
        <w:ind w:firstLine="630" w:firstLineChars="196"/>
        <w:rPr>
          <w:rFonts w:ascii="Times New Roman" w:hAnsi="Times New Roman" w:eastAsia="仿宋_GB2312" w:cs="宋体"/>
          <w:b/>
          <w:kern w:val="0"/>
          <w:sz w:val="32"/>
          <w:szCs w:val="32"/>
        </w:rPr>
      </w:pPr>
      <w:r>
        <w:rPr>
          <w:rFonts w:hint="eastAsia" w:ascii="Times New Roman" w:hAnsi="Times New Roman" w:eastAsia="仿宋_GB2312" w:cs="宋体"/>
          <w:b/>
          <w:kern w:val="0"/>
          <w:sz w:val="32"/>
          <w:szCs w:val="32"/>
        </w:rPr>
        <w:t>参与方式：</w:t>
      </w:r>
      <w:r>
        <w:rPr>
          <w:rFonts w:hint="eastAsia" w:ascii="Times New Roman" w:hAnsi="Times New Roman" w:eastAsia="仿宋_GB2312" w:cs="宋体"/>
          <w:bCs/>
          <w:kern w:val="0"/>
          <w:sz w:val="32"/>
          <w:szCs w:val="32"/>
        </w:rPr>
        <w:t>新设出资。</w:t>
      </w:r>
    </w:p>
    <w:p w14:paraId="2B96EF50">
      <w:pPr>
        <w:numPr>
          <w:ilvl w:val="0"/>
          <w:numId w:val="2"/>
        </w:numPr>
        <w:ind w:firstLine="630" w:firstLineChars="196"/>
        <w:rPr>
          <w:rFonts w:ascii="Times New Roman" w:hAnsi="Times New Roman" w:eastAsia="仿宋_GB2312" w:cs="宋体"/>
          <w:b/>
          <w:kern w:val="0"/>
          <w:sz w:val="32"/>
          <w:szCs w:val="32"/>
        </w:rPr>
      </w:pPr>
      <w:r>
        <w:rPr>
          <w:rFonts w:hint="eastAsia" w:ascii="Times New Roman" w:hAnsi="Times New Roman" w:eastAsia="仿宋_GB2312" w:cs="宋体"/>
          <w:b/>
          <w:kern w:val="0"/>
          <w:sz w:val="32"/>
          <w:szCs w:val="32"/>
        </w:rPr>
        <w:t>投资方式：</w:t>
      </w:r>
      <w:r>
        <w:rPr>
          <w:rFonts w:hint="eastAsia" w:ascii="Times New Roman" w:hAnsi="Times New Roman" w:eastAsia="仿宋_GB2312" w:cs="宋体"/>
          <w:bCs/>
          <w:kern w:val="0"/>
          <w:sz w:val="32"/>
          <w:szCs w:val="32"/>
        </w:rPr>
        <w:t>本基金承担母基金功能，可进行项目直接投资或参股设立子基金（包括但不限于科创子基金、上市公司定向增发子基金、并购子基金等），并可承载股权转受让业务。基金对直投项目的累计投资金额不得超过基金认缴规模的30%，且不得成为被投企业的单一最大股东。</w:t>
      </w:r>
    </w:p>
    <w:p w14:paraId="58679884">
      <w:pPr>
        <w:numPr>
          <w:ilvl w:val="0"/>
          <w:numId w:val="2"/>
        </w:numPr>
        <w:ind w:firstLine="630" w:firstLineChars="196"/>
        <w:rPr>
          <w:rFonts w:ascii="Times New Roman" w:hAnsi="Times New Roman" w:eastAsia="仿宋_GB2312" w:cs="宋体"/>
          <w:b/>
          <w:kern w:val="0"/>
          <w:sz w:val="32"/>
          <w:szCs w:val="32"/>
        </w:rPr>
      </w:pPr>
      <w:r>
        <w:rPr>
          <w:rFonts w:hint="eastAsia" w:ascii="Times New Roman" w:hAnsi="Times New Roman" w:eastAsia="仿宋_GB2312" w:cs="宋体"/>
          <w:b/>
          <w:kern w:val="0"/>
          <w:sz w:val="32"/>
          <w:szCs w:val="32"/>
        </w:rPr>
        <w:t>投资领域：</w:t>
      </w:r>
      <w:r>
        <w:rPr>
          <w:rFonts w:hint="eastAsia" w:ascii="Times New Roman" w:hAnsi="Times New Roman" w:eastAsia="仿宋_GB2312" w:cs="宋体"/>
          <w:bCs/>
          <w:kern w:val="0"/>
          <w:sz w:val="32"/>
          <w:szCs w:val="32"/>
        </w:rPr>
        <w:t>围绕符合开平市产业发展方向的健康产业领域，包括但不限于创新药、高端医疗器械、生物制造、精准医疗、体外诊断、医疗健康服务等战略新兴产业链中的优质企业进行股权及科创投资。</w:t>
      </w:r>
    </w:p>
    <w:p w14:paraId="1952F299">
      <w:pPr>
        <w:numPr>
          <w:ilvl w:val="0"/>
          <w:numId w:val="2"/>
        </w:numPr>
        <w:ind w:firstLine="630" w:firstLineChars="196"/>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管理费用：</w:t>
      </w:r>
      <w:r>
        <w:rPr>
          <w:rFonts w:hint="eastAsia" w:ascii="Times New Roman" w:hAnsi="Times New Roman" w:eastAsia="仿宋_GB2312" w:cs="宋体"/>
          <w:kern w:val="0"/>
          <w:sz w:val="32"/>
          <w:szCs w:val="32"/>
        </w:rPr>
        <w:t>投资期内，管理费按基金实缴出资总额的1.2%/年计提；退出期内，按基金未退出项目投资额的1.2%/年计提；延长期内不收取管理费。同时，应豁免有限合伙人在子基金层面承担的管理费用。</w:t>
      </w:r>
    </w:p>
    <w:p w14:paraId="1E31879D">
      <w:pPr>
        <w:numPr>
          <w:ilvl w:val="0"/>
          <w:numId w:val="2"/>
        </w:numPr>
        <w:ind w:firstLine="630" w:firstLineChars="196"/>
        <w:rPr>
          <w:rFonts w:ascii="Times New Roman" w:hAnsi="Times New Roman" w:eastAsia="仿宋_GB2312" w:cs="宋体"/>
          <w:b/>
          <w:kern w:val="0"/>
          <w:sz w:val="32"/>
          <w:szCs w:val="32"/>
        </w:rPr>
      </w:pPr>
      <w:r>
        <w:rPr>
          <w:rFonts w:hint="eastAsia" w:ascii="Times New Roman" w:hAnsi="Times New Roman" w:eastAsia="仿宋_GB2312" w:cs="宋体"/>
          <w:b/>
          <w:kern w:val="0"/>
          <w:sz w:val="32"/>
          <w:szCs w:val="32"/>
        </w:rPr>
        <w:t>收益分配方式</w:t>
      </w:r>
    </w:p>
    <w:p w14:paraId="6D2C5611">
      <w:p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基金的投资收益分配应采用“整体先回本后分利”方式，投资收益先按照被投基金各出资人实缴出资比例分配给各出资人，直至各出资人收回全部实缴出资，剩余的投资收益再按照基金合伙协议约定的方式予以分配。</w:t>
      </w:r>
    </w:p>
    <w:p w14:paraId="56360BD7">
      <w:pPr>
        <w:numPr>
          <w:ilvl w:val="0"/>
          <w:numId w:val="2"/>
        </w:numPr>
        <w:ind w:firstLine="630" w:firstLineChars="196"/>
        <w:rPr>
          <w:rFonts w:ascii="Times New Roman" w:hAnsi="Times New Roman" w:eastAsia="仿宋_GB2312" w:cs="宋体"/>
          <w:b/>
          <w:kern w:val="0"/>
          <w:sz w:val="32"/>
          <w:szCs w:val="32"/>
        </w:rPr>
      </w:pPr>
      <w:r>
        <w:rPr>
          <w:rFonts w:hint="eastAsia" w:ascii="Times New Roman" w:hAnsi="Times New Roman" w:eastAsia="仿宋_GB2312" w:cs="宋体"/>
          <w:b/>
          <w:kern w:val="0"/>
          <w:sz w:val="32"/>
          <w:szCs w:val="32"/>
        </w:rPr>
        <w:t>绩效考核</w:t>
      </w:r>
    </w:p>
    <w:p w14:paraId="72711A15">
      <w:p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绩效考核由翠山湖投控集团公司设置考核指标。</w:t>
      </w:r>
    </w:p>
    <w:p w14:paraId="780295CE">
      <w:pPr>
        <w:numPr>
          <w:ilvl w:val="0"/>
          <w:numId w:val="2"/>
        </w:numPr>
        <w:ind w:firstLine="630" w:firstLineChars="196"/>
        <w:rPr>
          <w:rFonts w:ascii="Times New Roman" w:hAnsi="Times New Roman" w:eastAsia="仿宋_GB2312" w:cs="宋体"/>
          <w:b/>
          <w:kern w:val="0"/>
          <w:sz w:val="32"/>
          <w:szCs w:val="32"/>
        </w:rPr>
      </w:pPr>
      <w:r>
        <w:rPr>
          <w:rFonts w:hint="eastAsia" w:ascii="Times New Roman" w:hAnsi="Times New Roman" w:eastAsia="仿宋_GB2312" w:cs="宋体"/>
          <w:b/>
          <w:kern w:val="0"/>
          <w:sz w:val="32"/>
          <w:szCs w:val="32"/>
        </w:rPr>
        <w:t>关联交易</w:t>
      </w:r>
    </w:p>
    <w:p w14:paraId="1639FB8C">
      <w:p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管理机构应明确不同主体之间关联交易的相关安排，对潜在的在管基金、投资项目与本基金间的利益冲突做出合理安排。原则上基金涉及关联交易均应提交合伙人会议决策。</w:t>
      </w:r>
    </w:p>
    <w:p w14:paraId="4973D924">
      <w:pPr>
        <w:numPr>
          <w:ilvl w:val="0"/>
          <w:numId w:val="1"/>
        </w:numPr>
        <w:spacing w:line="560" w:lineRule="exact"/>
        <w:ind w:firstLine="640" w:firstLineChars="200"/>
        <w:rPr>
          <w:rFonts w:ascii="Times New Roman" w:hAnsi="Times New Roman" w:eastAsia="黑体" w:cs="宋体"/>
          <w:kern w:val="0"/>
          <w:sz w:val="32"/>
          <w:szCs w:val="32"/>
        </w:rPr>
      </w:pPr>
      <w:r>
        <w:rPr>
          <w:rFonts w:hint="eastAsia" w:ascii="Times New Roman" w:hAnsi="Times New Roman" w:eastAsia="黑体" w:cs="宋体"/>
          <w:kern w:val="0"/>
          <w:sz w:val="32"/>
          <w:szCs w:val="32"/>
        </w:rPr>
        <w:t>申报要求</w:t>
      </w:r>
    </w:p>
    <w:p w14:paraId="7C5E0527">
      <w:pPr>
        <w:numPr>
          <w:ilvl w:val="0"/>
          <w:numId w:val="3"/>
        </w:numPr>
        <w:ind w:firstLine="630" w:firstLineChars="196"/>
        <w:rPr>
          <w:rFonts w:ascii="Times New Roman" w:hAnsi="Times New Roman" w:eastAsia="仿宋_GB2312" w:cs="宋体"/>
          <w:b/>
          <w:kern w:val="0"/>
          <w:sz w:val="32"/>
          <w:szCs w:val="32"/>
        </w:rPr>
      </w:pPr>
      <w:r>
        <w:rPr>
          <w:rFonts w:hint="eastAsia" w:ascii="Times New Roman" w:hAnsi="Times New Roman" w:eastAsia="仿宋_GB2312" w:cs="宋体"/>
          <w:b/>
          <w:kern w:val="0"/>
          <w:sz w:val="32"/>
          <w:szCs w:val="32"/>
        </w:rPr>
        <w:t>基本要求</w:t>
      </w:r>
    </w:p>
    <w:p w14:paraId="3DF8A985">
      <w:p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申报单位应逐项对照下列基本要求进行自查，并按附件清单及格式要求提供相应证明材料：</w:t>
      </w:r>
    </w:p>
    <w:p w14:paraId="078C3301">
      <w:pPr>
        <w:numPr>
          <w:ilvl w:val="0"/>
          <w:numId w:val="4"/>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管理机构已在相关主管部门或行业自律组织登记备案，实缴注册资本截止至2025年12月31日不低于500万元人民币；</w:t>
      </w:r>
    </w:p>
    <w:p w14:paraId="288D5F1E">
      <w:pPr>
        <w:numPr>
          <w:ilvl w:val="0"/>
          <w:numId w:val="4"/>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依法设立，公司治理、内控机制和管理制度健全有效，具有丰富的创业投资管理经验，历史业绩优秀，为投资基金配备专属且稳定的管理团队；</w:t>
      </w:r>
    </w:p>
    <w:p w14:paraId="5286CCC0">
      <w:pPr>
        <w:numPr>
          <w:ilvl w:val="0"/>
          <w:numId w:val="4"/>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有健全的激励约束机制、资产托管机制和风险隔离机制；</w:t>
      </w:r>
    </w:p>
    <w:p w14:paraId="1869CD33">
      <w:pPr>
        <w:numPr>
          <w:ilvl w:val="0"/>
          <w:numId w:val="4"/>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接受翠山湖投控集团公司涉及资金投资的质询，并根据其需要，及时向翠山湖投控集团公司报告有关情况或提供相关资料；</w:t>
      </w:r>
    </w:p>
    <w:p w14:paraId="2DF1E323">
      <w:pPr>
        <w:numPr>
          <w:ilvl w:val="0"/>
          <w:numId w:val="4"/>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管理机构最近三年不存在重大违法违规行为；</w:t>
      </w:r>
    </w:p>
    <w:p w14:paraId="33A385BD">
      <w:pPr>
        <w:numPr>
          <w:ilvl w:val="0"/>
          <w:numId w:val="4"/>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有良好的募资能力，能在基金方案中明确募资规模；</w:t>
      </w:r>
    </w:p>
    <w:p w14:paraId="5CEDB58F">
      <w:pPr>
        <w:pStyle w:val="2"/>
        <w:rPr>
          <w:rFonts w:hint="eastAsia" w:ascii="仿宋" w:hAnsi="仿宋" w:eastAsia="仿宋"/>
          <w:sz w:val="32"/>
          <w:szCs w:val="32"/>
          <w:highlight w:val="none"/>
        </w:rPr>
      </w:pPr>
      <w:r>
        <w:rPr>
          <w:rFonts w:hint="eastAsia" w:ascii="仿宋" w:hAnsi="仿宋" w:eastAsia="仿宋"/>
          <w:sz w:val="32"/>
          <w:szCs w:val="32"/>
          <w:highlight w:val="none"/>
        </w:rPr>
        <w:t>7. 投资能力</w:t>
      </w:r>
    </w:p>
    <w:p w14:paraId="265B2663">
      <w:pPr>
        <w:pStyle w:val="2"/>
        <w:rPr>
          <w:rFonts w:hint="eastAsia" w:ascii="仿宋" w:hAnsi="仿宋" w:eastAsia="仿宋"/>
          <w:sz w:val="32"/>
          <w:szCs w:val="32"/>
          <w:highlight w:val="none"/>
        </w:rPr>
      </w:pPr>
      <w:r>
        <w:rPr>
          <w:rFonts w:hint="eastAsia" w:ascii="仿宋" w:hAnsi="仿宋" w:eastAsia="仿宋"/>
          <w:sz w:val="32"/>
          <w:szCs w:val="32"/>
          <w:highlight w:val="none"/>
        </w:rPr>
        <w:t>管理机构3名（含）以上管理团队主要成员以骨干身份共同累计管理投资基金规模不低于10亿元，有满足以下标准的相关行业的成功投资案例：</w:t>
      </w:r>
    </w:p>
    <w:p w14:paraId="11DC6BF9">
      <w:pPr>
        <w:pStyle w:val="2"/>
        <w:rPr>
          <w:rFonts w:hint="eastAsia" w:ascii="仿宋" w:hAnsi="仿宋" w:eastAsia="仿宋"/>
          <w:sz w:val="32"/>
          <w:szCs w:val="32"/>
          <w:highlight w:val="none"/>
        </w:rPr>
      </w:pPr>
      <w:r>
        <w:rPr>
          <w:rFonts w:hint="eastAsia" w:ascii="仿宋" w:hAnsi="仿宋" w:eastAsia="仿宋"/>
          <w:sz w:val="32"/>
          <w:szCs w:val="32"/>
          <w:highlight w:val="none"/>
        </w:rPr>
        <w:t>7.1.管理机构有至少1个DPI不低于1.5且退出规模不低于1亿元的基金成功案例；</w:t>
      </w:r>
    </w:p>
    <w:p w14:paraId="746793B4">
      <w:pPr>
        <w:pStyle w:val="2"/>
        <w:rPr>
          <w:rFonts w:ascii="仿宋" w:hAnsi="仿宋" w:eastAsia="仿宋"/>
          <w:sz w:val="32"/>
          <w:szCs w:val="32"/>
          <w:highlight w:val="none"/>
        </w:rPr>
      </w:pPr>
      <w:r>
        <w:rPr>
          <w:rFonts w:hint="eastAsia" w:ascii="仿宋" w:hAnsi="仿宋" w:eastAsia="仿宋"/>
          <w:sz w:val="32"/>
          <w:szCs w:val="32"/>
          <w:highlight w:val="none"/>
        </w:rPr>
        <w:t>7.2.管理机构有3个（含）以上股权投资成功案例。成功投资案例应符合下列条件之一：</w:t>
      </w:r>
    </w:p>
    <w:p w14:paraId="5492B7EA">
      <w:pPr>
        <w:pStyle w:val="2"/>
        <w:rPr>
          <w:rFonts w:ascii="仿宋" w:hAnsi="仿宋" w:eastAsia="仿宋"/>
          <w:sz w:val="32"/>
          <w:szCs w:val="32"/>
          <w:highlight w:val="none"/>
        </w:rPr>
      </w:pPr>
      <w:r>
        <w:rPr>
          <w:rFonts w:hint="eastAsia" w:ascii="仿宋" w:hAnsi="仿宋" w:eastAsia="仿宋"/>
          <w:sz w:val="32"/>
          <w:szCs w:val="32"/>
          <w:highlight w:val="none"/>
        </w:rPr>
        <w:t>（1）管理机构投资并已全部退出且总收益率不低于20%的项目；</w:t>
      </w:r>
    </w:p>
    <w:p w14:paraId="58423727">
      <w:pPr>
        <w:pStyle w:val="2"/>
        <w:rPr>
          <w:rFonts w:ascii="仿宋" w:hAnsi="仿宋" w:eastAsia="仿宋"/>
          <w:sz w:val="32"/>
          <w:szCs w:val="32"/>
          <w:highlight w:val="none"/>
        </w:rPr>
      </w:pPr>
      <w:r>
        <w:rPr>
          <w:rFonts w:hint="eastAsia" w:ascii="仿宋" w:hAnsi="仿宋" w:eastAsia="仿宋"/>
          <w:sz w:val="32"/>
          <w:szCs w:val="32"/>
          <w:highlight w:val="none"/>
        </w:rPr>
        <w:t>（2）管理机构所投资但仅部分退出或未退出的项目，已退出部分的年平均收益率不低于20%，同时未退出部分应达到以下标准之一：</w:t>
      </w:r>
    </w:p>
    <w:p w14:paraId="6EC7D84D">
      <w:pPr>
        <w:pStyle w:val="2"/>
        <w:rPr>
          <w:rFonts w:ascii="仿宋" w:hAnsi="仿宋" w:eastAsia="仿宋"/>
          <w:sz w:val="32"/>
          <w:szCs w:val="32"/>
          <w:highlight w:val="none"/>
        </w:rPr>
      </w:pPr>
      <w:r>
        <w:rPr>
          <w:rFonts w:hint="eastAsia" w:ascii="仿宋" w:hAnsi="仿宋" w:eastAsia="仿宋"/>
          <w:sz w:val="32"/>
          <w:szCs w:val="32"/>
          <w:highlight w:val="none"/>
        </w:rPr>
        <w:t>（a）年平均净资产收益率不低于20%；</w:t>
      </w:r>
    </w:p>
    <w:p w14:paraId="435EDB2A">
      <w:pPr>
        <w:pStyle w:val="2"/>
        <w:rPr>
          <w:rFonts w:ascii="仿宋" w:hAnsi="仿宋" w:eastAsia="仿宋"/>
          <w:sz w:val="32"/>
          <w:szCs w:val="32"/>
          <w:highlight w:val="none"/>
        </w:rPr>
      </w:pPr>
      <w:r>
        <w:rPr>
          <w:rFonts w:hint="eastAsia" w:ascii="仿宋" w:hAnsi="仿宋" w:eastAsia="仿宋"/>
          <w:sz w:val="32"/>
          <w:szCs w:val="32"/>
          <w:highlight w:val="none"/>
        </w:rPr>
        <w:t>（b）根据最近一期公司融资价格计算的年平均收益率不低于20%；</w:t>
      </w:r>
    </w:p>
    <w:p w14:paraId="0A6AA8BA">
      <w:pPr>
        <w:pStyle w:val="2"/>
        <w:rPr>
          <w:rFonts w:hint="eastAsia" w:ascii="仿宋" w:hAnsi="仿宋" w:eastAsia="仿宋"/>
          <w:sz w:val="32"/>
          <w:szCs w:val="32"/>
          <w:highlight w:val="none"/>
        </w:rPr>
      </w:pPr>
      <w:r>
        <w:rPr>
          <w:rFonts w:hint="eastAsia" w:ascii="仿宋" w:hAnsi="仿宋" w:eastAsia="仿宋"/>
          <w:sz w:val="32"/>
          <w:szCs w:val="32"/>
          <w:highlight w:val="none"/>
        </w:rPr>
        <w:t>（c）根据累计分红金额计算的年平均收益率不低于20%。</w:t>
      </w:r>
    </w:p>
    <w:p w14:paraId="5C9718E1">
      <w:pPr>
        <w:numPr>
          <w:ilvl w:val="0"/>
          <w:numId w:val="3"/>
        </w:numPr>
        <w:ind w:firstLine="630" w:firstLineChars="196"/>
        <w:rPr>
          <w:rFonts w:ascii="Times New Roman" w:hAnsi="Times New Roman" w:eastAsia="仿宋_GB2312" w:cs="宋体"/>
          <w:b/>
          <w:kern w:val="0"/>
          <w:sz w:val="32"/>
          <w:szCs w:val="32"/>
          <w:highlight w:val="none"/>
        </w:rPr>
      </w:pPr>
      <w:r>
        <w:rPr>
          <w:rFonts w:hint="eastAsia" w:ascii="Times New Roman" w:hAnsi="Times New Roman" w:eastAsia="仿宋_GB2312" w:cs="宋体"/>
          <w:b/>
          <w:bCs/>
          <w:kern w:val="0"/>
          <w:sz w:val="32"/>
          <w:szCs w:val="32"/>
          <w:highlight w:val="none"/>
        </w:rPr>
        <w:t>管理团队及规模</w:t>
      </w:r>
    </w:p>
    <w:p w14:paraId="6F7911BE">
      <w:pPr>
        <w:numPr>
          <w:numId w:val="0"/>
        </w:numPr>
        <w:ind w:firstLine="640" w:firstLineChars="200"/>
        <w:rPr>
          <w:rFonts w:hint="eastAsia" w:ascii="Times New Roman" w:hAnsi="Times New Roman" w:eastAsia="仿宋_GB2312" w:cs="宋体"/>
          <w:kern w:val="0"/>
          <w:sz w:val="32"/>
          <w:szCs w:val="32"/>
          <w:highlight w:val="none"/>
        </w:rPr>
      </w:pPr>
      <w:r>
        <w:rPr>
          <w:rFonts w:hint="eastAsia" w:ascii="Times New Roman" w:hAnsi="Times New Roman" w:eastAsia="仿宋_GB2312" w:cs="宋体"/>
          <w:kern w:val="0"/>
          <w:sz w:val="32"/>
          <w:szCs w:val="32"/>
          <w:highlight w:val="none"/>
          <w:lang w:val="en-US" w:eastAsia="zh-CN"/>
        </w:rPr>
        <w:t>1.</w:t>
      </w:r>
      <w:r>
        <w:rPr>
          <w:rFonts w:hint="eastAsia" w:ascii="Times New Roman" w:hAnsi="Times New Roman" w:eastAsia="仿宋_GB2312" w:cs="宋体"/>
          <w:kern w:val="0"/>
          <w:sz w:val="32"/>
          <w:szCs w:val="32"/>
          <w:highlight w:val="none"/>
        </w:rPr>
        <w:t>配备稳定的管理团队，</w:t>
      </w:r>
      <w:r>
        <w:rPr>
          <w:rFonts w:ascii="Times New Roman" w:hAnsi="Times New Roman" w:eastAsia="仿宋_GB2312" w:cs="宋体"/>
          <w:kern w:val="0"/>
          <w:sz w:val="32"/>
          <w:szCs w:val="32"/>
          <w:highlight w:val="none"/>
        </w:rPr>
        <w:t>核心管理团队</w:t>
      </w:r>
      <w:r>
        <w:rPr>
          <w:rFonts w:hint="eastAsia" w:ascii="Times New Roman" w:hAnsi="Times New Roman" w:eastAsia="仿宋_GB2312" w:cs="宋体"/>
          <w:kern w:val="0"/>
          <w:sz w:val="32"/>
          <w:szCs w:val="32"/>
          <w:highlight w:val="none"/>
        </w:rPr>
        <w:t>至少有3名具备</w:t>
      </w:r>
      <w:r>
        <w:rPr>
          <w:rFonts w:hint="eastAsia" w:ascii="Times New Roman" w:hAnsi="Times New Roman" w:eastAsia="仿宋_GB2312" w:cs="宋体"/>
          <w:kern w:val="0"/>
          <w:sz w:val="32"/>
          <w:szCs w:val="32"/>
          <w:highlight w:val="none"/>
          <w:lang w:val="en-US" w:eastAsia="zh-CN"/>
        </w:rPr>
        <w:t>6</w:t>
      </w:r>
      <w:r>
        <w:rPr>
          <w:rFonts w:hint="eastAsia" w:ascii="Times New Roman" w:hAnsi="Times New Roman" w:eastAsia="仿宋_GB2312" w:cs="宋体"/>
          <w:kern w:val="0"/>
          <w:sz w:val="32"/>
          <w:szCs w:val="32"/>
          <w:highlight w:val="none"/>
        </w:rPr>
        <w:t>年以上相关行业股权投资或股权投资基金管理工作经验的高级管理人员，管理团队主要成员未受过行政主管机关或司法机关处罚的不良记录；</w:t>
      </w:r>
    </w:p>
    <w:p w14:paraId="2BA24921">
      <w:pPr>
        <w:pStyle w:val="28"/>
        <w:numPr>
          <w:numId w:val="0"/>
        </w:numPr>
        <w:ind w:firstLine="640" w:firstLineChars="200"/>
        <w:rPr>
          <w:rFonts w:ascii="Times New Roman" w:hAnsi="Times New Roman" w:eastAsia="仿宋_GB2312" w:cs="宋体"/>
          <w:kern w:val="0"/>
          <w:sz w:val="32"/>
          <w:szCs w:val="32"/>
          <w:highlight w:val="none"/>
        </w:rPr>
      </w:pPr>
      <w:r>
        <w:rPr>
          <w:rFonts w:hint="eastAsia" w:ascii="Times New Roman" w:hAnsi="Times New Roman" w:eastAsia="仿宋_GB2312" w:cs="宋体"/>
          <w:kern w:val="0"/>
          <w:sz w:val="32"/>
          <w:szCs w:val="32"/>
          <w:highlight w:val="none"/>
          <w:lang w:val="en-US" w:eastAsia="zh-CN"/>
        </w:rPr>
        <w:t>2.</w:t>
      </w:r>
      <w:r>
        <w:rPr>
          <w:rFonts w:hint="eastAsia" w:ascii="Times New Roman" w:hAnsi="Times New Roman" w:eastAsia="仿宋_GB2312" w:cs="宋体"/>
          <w:kern w:val="0"/>
          <w:sz w:val="32"/>
          <w:szCs w:val="32"/>
          <w:highlight w:val="none"/>
        </w:rPr>
        <w:t>管理机构累计管理基金规模不低于10亿元人民币。</w:t>
      </w:r>
    </w:p>
    <w:p w14:paraId="0BDC4538">
      <w:pPr>
        <w:pStyle w:val="2"/>
        <w:numPr>
          <w:numId w:val="0"/>
        </w:numPr>
        <w:ind w:firstLine="640" w:firstLineChars="200"/>
      </w:pPr>
      <w:bookmarkStart w:id="1" w:name="_GoBack"/>
      <w:bookmarkEnd w:id="1"/>
      <w:r>
        <w:rPr>
          <w:rFonts w:hint="eastAsia" w:ascii="Times New Roman" w:hAnsi="Times New Roman" w:eastAsia="仿宋_GB2312" w:cs="宋体"/>
          <w:kern w:val="0"/>
          <w:sz w:val="32"/>
          <w:szCs w:val="32"/>
          <w:highlight w:val="none"/>
          <w:lang w:val="en-US" w:eastAsia="zh-CN"/>
        </w:rPr>
        <w:t>3.</w:t>
      </w:r>
      <w:r>
        <w:rPr>
          <w:rFonts w:hint="eastAsia" w:ascii="Times New Roman" w:hAnsi="Times New Roman" w:eastAsia="仿宋_GB2312" w:cs="宋体"/>
          <w:kern w:val="0"/>
          <w:sz w:val="32"/>
          <w:szCs w:val="32"/>
          <w:highlight w:val="none"/>
        </w:rPr>
        <w:t>专注度要求。在基金完成7</w:t>
      </w:r>
      <w:r>
        <w:rPr>
          <w:rFonts w:hint="eastAsia" w:ascii="Times New Roman" w:hAnsi="Times New Roman" w:eastAsia="仿宋_GB2312" w:cs="宋体"/>
          <w:kern w:val="0"/>
          <w:sz w:val="32"/>
          <w:szCs w:val="32"/>
        </w:rPr>
        <w:t>0%的投资进度之前，基金合伙协议应当约定对基金管委会委员和管理团队核心成员进行锁定，管理团队核心成员原则上不得变更，不得发起、设立或管理同地级市内的其他基金，不得作为前述基金的关键人，锁定人员如发生变动应当经基金相关权力机构表决通过。</w:t>
      </w:r>
    </w:p>
    <w:p w14:paraId="1C581ABC">
      <w:pPr>
        <w:numPr>
          <w:ilvl w:val="0"/>
          <w:numId w:val="1"/>
        </w:numPr>
        <w:spacing w:line="560" w:lineRule="exact"/>
        <w:ind w:firstLine="640" w:firstLineChars="200"/>
        <w:rPr>
          <w:rFonts w:ascii="Times New Roman" w:hAnsi="Times New Roman" w:eastAsia="黑体" w:cs="宋体"/>
          <w:kern w:val="0"/>
          <w:sz w:val="32"/>
          <w:szCs w:val="32"/>
        </w:rPr>
      </w:pPr>
      <w:r>
        <w:rPr>
          <w:rFonts w:hint="eastAsia" w:ascii="Times New Roman" w:hAnsi="Times New Roman" w:eastAsia="黑体" w:cs="宋体"/>
          <w:kern w:val="0"/>
          <w:sz w:val="32"/>
          <w:szCs w:val="32"/>
        </w:rPr>
        <w:t>限制性安排及风控要求</w:t>
      </w:r>
    </w:p>
    <w:p w14:paraId="7B066A45">
      <w:pPr>
        <w:numPr>
          <w:ilvl w:val="0"/>
          <w:numId w:val="5"/>
        </w:numPr>
        <w:ind w:firstLine="630" w:firstLineChars="196"/>
      </w:pPr>
      <w:r>
        <w:rPr>
          <w:rFonts w:hint="eastAsia" w:ascii="Times New Roman" w:hAnsi="Times New Roman" w:eastAsia="仿宋_GB2312" w:cs="宋体"/>
          <w:b/>
          <w:kern w:val="0"/>
          <w:sz w:val="32"/>
          <w:szCs w:val="32"/>
        </w:rPr>
        <w:t>基金运作中不得从事的业务</w:t>
      </w:r>
    </w:p>
    <w:p w14:paraId="4027E050">
      <w:pPr>
        <w:numPr>
          <w:ilvl w:val="0"/>
          <w:numId w:val="6"/>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对外举债；</w:t>
      </w:r>
    </w:p>
    <w:p w14:paraId="54D531A8">
      <w:pPr>
        <w:numPr>
          <w:ilvl w:val="0"/>
          <w:numId w:val="6"/>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从事融资担保以外的担保、抵押、委托贷款等业务；</w:t>
      </w:r>
    </w:p>
    <w:p w14:paraId="11DED6A5">
      <w:pPr>
        <w:numPr>
          <w:ilvl w:val="0"/>
          <w:numId w:val="6"/>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投资二级市场股票（上市公司定向增发除外）、期货、房地产、证券投资基金、评级AAA以下的企业债、信托产品、非保本型理财产品、保险计划及其他金融衍生品；</w:t>
      </w:r>
    </w:p>
    <w:p w14:paraId="2CDD3EE6">
      <w:pPr>
        <w:numPr>
          <w:ilvl w:val="0"/>
          <w:numId w:val="6"/>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向任何第三方提供赞助、捐赠(经批准的公益性捐赠除外)；</w:t>
      </w:r>
    </w:p>
    <w:p w14:paraId="3EC2D7EB">
      <w:pPr>
        <w:numPr>
          <w:ilvl w:val="0"/>
          <w:numId w:val="6"/>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进行承担无限连带责任的对外投资；</w:t>
      </w:r>
    </w:p>
    <w:p w14:paraId="53E22E75">
      <w:pPr>
        <w:numPr>
          <w:ilvl w:val="0"/>
          <w:numId w:val="6"/>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发行信托或集合理财募集资金；</w:t>
      </w:r>
    </w:p>
    <w:p w14:paraId="271D2169">
      <w:pPr>
        <w:numPr>
          <w:ilvl w:val="0"/>
          <w:numId w:val="6"/>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其他国家法律法规禁止从事的业务。</w:t>
      </w:r>
    </w:p>
    <w:p w14:paraId="239789FF">
      <w:pPr>
        <w:numPr>
          <w:ilvl w:val="0"/>
          <w:numId w:val="5"/>
        </w:numPr>
        <w:ind w:firstLine="630" w:firstLineChars="196"/>
        <w:rPr>
          <w:rFonts w:ascii="Times New Roman" w:hAnsi="Times New Roman" w:eastAsia="仿宋_GB2312" w:cs="宋体"/>
          <w:b/>
          <w:kern w:val="0"/>
          <w:sz w:val="32"/>
          <w:szCs w:val="32"/>
        </w:rPr>
      </w:pPr>
      <w:r>
        <w:rPr>
          <w:rFonts w:hint="eastAsia" w:ascii="Times New Roman" w:hAnsi="Times New Roman" w:eastAsia="仿宋_GB2312" w:cs="宋体"/>
          <w:b/>
          <w:kern w:val="0"/>
          <w:sz w:val="32"/>
          <w:szCs w:val="32"/>
        </w:rPr>
        <w:t>风险控制</w:t>
      </w:r>
    </w:p>
    <w:p w14:paraId="0795AEBE">
      <w:pPr>
        <w:numPr>
          <w:ilvl w:val="0"/>
          <w:numId w:val="7"/>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资金托管。基金应委托一家在中国境内设立且具备资质的商业银行进行托管；</w:t>
      </w:r>
    </w:p>
    <w:p w14:paraId="145D5DDB">
      <w:pPr>
        <w:numPr>
          <w:ilvl w:val="0"/>
          <w:numId w:val="7"/>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基金备案。基金应按中基协规定在募集完毕之日起20个工作日内完成向中基协提交基金备案申请；</w:t>
      </w:r>
    </w:p>
    <w:p w14:paraId="5CE66230">
      <w:pPr>
        <w:numPr>
          <w:ilvl w:val="0"/>
          <w:numId w:val="7"/>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一票否决权。翠山湖投控集团公司有权委派观察员列席基金投资决策委员会等会议。翠山湖投控集团公司有权对违反各自相关管理制度、合伙协议约定的投资项目行使一票否决权；</w:t>
      </w:r>
    </w:p>
    <w:p w14:paraId="0D51BE28">
      <w:pPr>
        <w:numPr>
          <w:ilvl w:val="0"/>
          <w:numId w:val="7"/>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信息披露。建立基金重大事项披露制度，定期向翠山湖投控集团公司提交基金运营报告、经审计的基金财务报告和银行托管报告等。按照翠山湖投控集团公司的要求，报送具体基金投资运营相关信息；</w:t>
      </w:r>
    </w:p>
    <w:p w14:paraId="13F8BB88">
      <w:pPr>
        <w:numPr>
          <w:ilvl w:val="0"/>
          <w:numId w:val="7"/>
        </w:num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触发特定情形的风险控制措施。基金出现以下情况之一的，翠山湖投控集团公司应当按照投资或合伙协议约定退出该基金。退出价格按照基金合伙协议约定的方式计算，翠山湖投控集团公司有权要求收回投资本金及利息（按同期全国银行间同业拆借中心公布的贷款市场报价利率（LPR）及同期银行贷款利率孰高者计算）之和，如有收益分成部分，按照投资协议约定享有收益分配：</w:t>
      </w:r>
    </w:p>
    <w:p w14:paraId="483F1052">
      <w:pPr>
        <w:numPr>
          <w:ilvl w:val="0"/>
          <w:numId w:val="8"/>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基金未按合伙协议约定投资且未能有效整改的；</w:t>
      </w:r>
    </w:p>
    <w:p w14:paraId="3661F14E">
      <w:pPr>
        <w:numPr>
          <w:ilvl w:val="0"/>
          <w:numId w:val="8"/>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翠山湖投控集团公司与基金管理机构首次签订投资或合伙协议后，基金管理机构未完成商事登记超过</w:t>
      </w:r>
      <w:r>
        <w:rPr>
          <w:rFonts w:ascii="Times New Roman" w:hAnsi="Times New Roman" w:eastAsia="仿宋_GB2312" w:cs="宋体"/>
          <w:kern w:val="0"/>
          <w:sz w:val="32"/>
          <w:szCs w:val="32"/>
        </w:rPr>
        <w:t>6</w:t>
      </w:r>
      <w:r>
        <w:rPr>
          <w:rFonts w:hint="eastAsia" w:ascii="Times New Roman" w:hAnsi="Times New Roman" w:eastAsia="仿宋_GB2312" w:cs="宋体"/>
          <w:kern w:val="0"/>
          <w:sz w:val="32"/>
          <w:szCs w:val="32"/>
        </w:rPr>
        <w:t>个月的；</w:t>
      </w:r>
    </w:p>
    <w:p w14:paraId="66731D2B">
      <w:pPr>
        <w:numPr>
          <w:ilvl w:val="0"/>
          <w:numId w:val="8"/>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翠山湖投控集团公司首轮出资资金拨付基金账户6个月，基金仍未开展投资业务的；</w:t>
      </w:r>
    </w:p>
    <w:p w14:paraId="6932E0AC">
      <w:pPr>
        <w:numPr>
          <w:ilvl w:val="0"/>
          <w:numId w:val="8"/>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基金投资项目不符合翠山湖投控集团公司或开平市国资投资管理办法规定的政策导向的；</w:t>
      </w:r>
    </w:p>
    <w:p w14:paraId="5FE20F75">
      <w:pPr>
        <w:numPr>
          <w:ilvl w:val="0"/>
          <w:numId w:val="8"/>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基金管理机构发生实质性变化的且未按基金协议履行相关程序的；</w:t>
      </w:r>
    </w:p>
    <w:p w14:paraId="7E77E7B2">
      <w:pPr>
        <w:numPr>
          <w:ilvl w:val="0"/>
          <w:numId w:val="8"/>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基金完成商事登记后，其他出资人未在</w:t>
      </w:r>
      <w:r>
        <w:rPr>
          <w:rFonts w:ascii="Times New Roman" w:hAnsi="Times New Roman" w:eastAsia="仿宋_GB2312" w:cs="宋体"/>
          <w:kern w:val="0"/>
          <w:sz w:val="32"/>
          <w:szCs w:val="32"/>
        </w:rPr>
        <w:t>6</w:t>
      </w:r>
      <w:r>
        <w:rPr>
          <w:rFonts w:hint="eastAsia" w:ascii="Times New Roman" w:hAnsi="Times New Roman" w:eastAsia="仿宋_GB2312" w:cs="宋体"/>
          <w:kern w:val="0"/>
          <w:sz w:val="32"/>
          <w:szCs w:val="32"/>
        </w:rPr>
        <w:t>个月内完成首轮出资的；</w:t>
      </w:r>
    </w:p>
    <w:p w14:paraId="5900A2F4">
      <w:pPr>
        <w:numPr>
          <w:ilvl w:val="0"/>
          <w:numId w:val="8"/>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基金运营有违法违规行为被依法查处的；</w:t>
      </w:r>
    </w:p>
    <w:p w14:paraId="08785E42">
      <w:pPr>
        <w:numPr>
          <w:ilvl w:val="0"/>
          <w:numId w:val="8"/>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基金出现重大审计问题且整改未达标的；</w:t>
      </w:r>
    </w:p>
    <w:p w14:paraId="0CC4C7DF">
      <w:pPr>
        <w:numPr>
          <w:ilvl w:val="0"/>
          <w:numId w:val="8"/>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基金管理机构连续2年绩效考核不合格且整改未达标的；</w:t>
      </w:r>
    </w:p>
    <w:p w14:paraId="74346AD5">
      <w:pPr>
        <w:numPr>
          <w:ilvl w:val="0"/>
          <w:numId w:val="8"/>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基金未达到合伙协议约定的政策目标，经整改仍然无法达到要求的。</w:t>
      </w:r>
    </w:p>
    <w:p w14:paraId="19F36FC2">
      <w:pPr>
        <w:numPr>
          <w:ilvl w:val="0"/>
          <w:numId w:val="1"/>
        </w:numPr>
        <w:spacing w:line="560" w:lineRule="exact"/>
        <w:ind w:firstLine="640" w:firstLineChars="200"/>
        <w:rPr>
          <w:rFonts w:ascii="Times New Roman" w:hAnsi="Times New Roman" w:eastAsia="黑体" w:cs="宋体"/>
          <w:kern w:val="0"/>
          <w:sz w:val="32"/>
          <w:szCs w:val="32"/>
        </w:rPr>
      </w:pPr>
      <w:r>
        <w:rPr>
          <w:rFonts w:hint="eastAsia" w:ascii="Times New Roman" w:hAnsi="Times New Roman" w:eastAsia="黑体" w:cs="宋体"/>
          <w:kern w:val="0"/>
          <w:sz w:val="32"/>
          <w:szCs w:val="32"/>
        </w:rPr>
        <w:t>附则</w:t>
      </w:r>
    </w:p>
    <w:p w14:paraId="2B131B0D">
      <w:pPr>
        <w:numPr>
          <w:ilvl w:val="0"/>
          <w:numId w:val="9"/>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本申报指南中，除非特别说明，“不低于”“不超过” “不高于”“不少于”“以上”“以下”等均含本数。</w:t>
      </w:r>
    </w:p>
    <w:p w14:paraId="170196B2">
      <w:pPr>
        <w:numPr>
          <w:ilvl w:val="0"/>
          <w:numId w:val="9"/>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翠山湖投控集团公司承诺对接收的报送材料保密，除审核流程的相关部门及人员或审计部门需要、或该信息于披露时属于可公开获取的信息或因相关法律规定而必须披露的信息。</w:t>
      </w:r>
    </w:p>
    <w:p w14:paraId="32FEDD64">
      <w:pPr>
        <w:numPr>
          <w:ilvl w:val="0"/>
          <w:numId w:val="9"/>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翠山湖投控集团公司对各申报单位提交的申报材料及其按要求提供的补充材料，均不予退回；对未进入下一环节或未中选申报单位不另行通知。</w:t>
      </w:r>
    </w:p>
    <w:p w14:paraId="76801E0A">
      <w:pPr>
        <w:numPr>
          <w:ilvl w:val="0"/>
          <w:numId w:val="9"/>
        </w:numPr>
        <w:ind w:firstLine="627" w:firstLineChars="196"/>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本申报指南（含附件）由翠山湖投控集团公司负责解释。</w:t>
      </w:r>
    </w:p>
    <w:p w14:paraId="2C0D683C">
      <w:pPr>
        <w:rPr>
          <w:rFonts w:ascii="Times New Roman" w:hAnsi="Times New Roman" w:eastAsia="仿宋_GB2312" w:cs="宋体"/>
          <w:kern w:val="0"/>
          <w:sz w:val="32"/>
          <w:szCs w:val="32"/>
        </w:rPr>
      </w:pPr>
    </w:p>
    <w:p w14:paraId="1964905A">
      <w:pPr>
        <w:ind w:firstLine="640" w:firstLineChars="2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附件：1.1 申报材料编制及报送说明</w:t>
      </w:r>
    </w:p>
    <w:p w14:paraId="42029C45">
      <w:pPr>
        <w:ind w:firstLine="1600" w:firstLineChars="5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1.2 申报材料封面及顺序目录</w:t>
      </w:r>
    </w:p>
    <w:p w14:paraId="7931D928">
      <w:pPr>
        <w:ind w:firstLine="1600" w:firstLineChars="5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1.3 申报材料承诺书、声明函、授权书模版</w:t>
      </w:r>
    </w:p>
    <w:p w14:paraId="0864C86C">
      <w:pPr>
        <w:ind w:firstLine="1600" w:firstLineChars="500"/>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1.4 申报材料附表模板</w:t>
      </w:r>
    </w:p>
    <w:sectPr>
      <w:footerReference r:id="rId3" w:type="default"/>
      <w:footerReference r:id="rId4" w:type="even"/>
      <w:pgSz w:w="11906" w:h="16838"/>
      <w:pgMar w:top="1588"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01A35">
    <w:pPr>
      <w:pStyle w:val="7"/>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6473B">
                          <w:pPr>
                            <w:pStyle w:val="7"/>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7</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C86473B">
                    <w:pPr>
                      <w:pStyle w:val="7"/>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7</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p w14:paraId="3A4A369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532492"/>
    </w:sdtPr>
    <w:sdtEndPr>
      <w:rPr>
        <w:rFonts w:ascii="宋体" w:hAnsi="宋体"/>
        <w:sz w:val="24"/>
        <w:szCs w:val="24"/>
      </w:rPr>
    </w:sdtEndPr>
    <w:sdtContent>
      <w:p w14:paraId="7A64D72B">
        <w:pPr>
          <w:pStyle w:val="7"/>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Pr>
            <w:rFonts w:ascii="宋体" w:hAnsi="宋体"/>
            <w:sz w:val="24"/>
            <w:szCs w:val="24"/>
          </w:rPr>
          <w:t>- 2 -</w:t>
        </w:r>
        <w:r>
          <w:rPr>
            <w:rFonts w:ascii="宋体" w:hAnsi="宋体"/>
            <w:sz w:val="24"/>
            <w:szCs w:val="24"/>
          </w:rPr>
          <w:fldChar w:fldCharType="end"/>
        </w:r>
      </w:p>
    </w:sdtContent>
  </w:sdt>
  <w:p w14:paraId="099F978B"/>
  <w:p w14:paraId="4A8559FB"/>
  <w:p w14:paraId="78D9CBA5"/>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FB14E8"/>
    <w:multiLevelType w:val="singleLevel"/>
    <w:tmpl w:val="87FB14E8"/>
    <w:lvl w:ilvl="0" w:tentative="0">
      <w:start w:val="1"/>
      <w:numFmt w:val="decimal"/>
      <w:suff w:val="space"/>
      <w:lvlText w:val="%1."/>
      <w:lvlJc w:val="left"/>
    </w:lvl>
  </w:abstractNum>
  <w:abstractNum w:abstractNumId="1">
    <w:nsid w:val="8CB2C1FC"/>
    <w:multiLevelType w:val="singleLevel"/>
    <w:tmpl w:val="8CB2C1FC"/>
    <w:lvl w:ilvl="0" w:tentative="0">
      <w:start w:val="1"/>
      <w:numFmt w:val="chineseCounting"/>
      <w:suff w:val="nothing"/>
      <w:lvlText w:val="（%1）"/>
      <w:lvlJc w:val="left"/>
      <w:rPr>
        <w:rFonts w:hint="eastAsia"/>
        <w:b/>
        <w:bCs/>
      </w:rPr>
    </w:lvl>
  </w:abstractNum>
  <w:abstractNum w:abstractNumId="2">
    <w:nsid w:val="AC4EF62D"/>
    <w:multiLevelType w:val="singleLevel"/>
    <w:tmpl w:val="AC4EF62D"/>
    <w:lvl w:ilvl="0" w:tentative="0">
      <w:start w:val="1"/>
      <w:numFmt w:val="decimal"/>
      <w:suff w:val="space"/>
      <w:lvlText w:val="%1."/>
      <w:lvlJc w:val="left"/>
    </w:lvl>
  </w:abstractNum>
  <w:abstractNum w:abstractNumId="3">
    <w:nsid w:val="C6D2A5B4"/>
    <w:multiLevelType w:val="singleLevel"/>
    <w:tmpl w:val="C6D2A5B4"/>
    <w:lvl w:ilvl="0" w:tentative="0">
      <w:start w:val="1"/>
      <w:numFmt w:val="chineseCounting"/>
      <w:suff w:val="nothing"/>
      <w:lvlText w:val="（%1）"/>
      <w:lvlJc w:val="left"/>
      <w:rPr>
        <w:rFonts w:hint="eastAsia"/>
        <w:b/>
        <w:bCs/>
      </w:rPr>
    </w:lvl>
  </w:abstractNum>
  <w:abstractNum w:abstractNumId="4">
    <w:nsid w:val="E31926FD"/>
    <w:multiLevelType w:val="singleLevel"/>
    <w:tmpl w:val="E31926FD"/>
    <w:lvl w:ilvl="0" w:tentative="0">
      <w:start w:val="1"/>
      <w:numFmt w:val="decimal"/>
      <w:suff w:val="space"/>
      <w:lvlText w:val="%1."/>
      <w:lvlJc w:val="left"/>
    </w:lvl>
  </w:abstractNum>
  <w:abstractNum w:abstractNumId="5">
    <w:nsid w:val="FC466B4E"/>
    <w:multiLevelType w:val="singleLevel"/>
    <w:tmpl w:val="FC466B4E"/>
    <w:lvl w:ilvl="0" w:tentative="0">
      <w:start w:val="1"/>
      <w:numFmt w:val="chineseCounting"/>
      <w:suff w:val="nothing"/>
      <w:lvlText w:val="%1、"/>
      <w:lvlJc w:val="left"/>
      <w:rPr>
        <w:rFonts w:hint="eastAsia" w:ascii="黑体" w:hAnsi="黑体" w:eastAsia="黑体" w:cs="黑体"/>
        <w:sz w:val="32"/>
        <w:szCs w:val="32"/>
      </w:rPr>
    </w:lvl>
  </w:abstractNum>
  <w:abstractNum w:abstractNumId="6">
    <w:nsid w:val="204DE5C6"/>
    <w:multiLevelType w:val="singleLevel"/>
    <w:tmpl w:val="204DE5C6"/>
    <w:lvl w:ilvl="0" w:tentative="0">
      <w:start w:val="1"/>
      <w:numFmt w:val="chineseCounting"/>
      <w:suff w:val="nothing"/>
      <w:lvlText w:val="（%1）"/>
      <w:lvlJc w:val="left"/>
      <w:rPr>
        <w:rFonts w:hint="eastAsia" w:ascii="仿宋_GB2312" w:hAnsi="仿宋_GB2312" w:eastAsia="仿宋_GB2312" w:cs="仿宋_GB2312"/>
        <w:b/>
        <w:bCs/>
        <w:sz w:val="32"/>
        <w:szCs w:val="32"/>
      </w:rPr>
    </w:lvl>
  </w:abstractNum>
  <w:abstractNum w:abstractNumId="7">
    <w:nsid w:val="3FFBE6B4"/>
    <w:multiLevelType w:val="singleLevel"/>
    <w:tmpl w:val="3FFBE6B4"/>
    <w:lvl w:ilvl="0" w:tentative="0">
      <w:start w:val="1"/>
      <w:numFmt w:val="chineseCounting"/>
      <w:suff w:val="nothing"/>
      <w:lvlText w:val="（%1）"/>
      <w:lvlJc w:val="left"/>
      <w:rPr>
        <w:rFonts w:hint="eastAsia"/>
      </w:rPr>
    </w:lvl>
  </w:abstractNum>
  <w:abstractNum w:abstractNumId="8">
    <w:nsid w:val="7CE4FF77"/>
    <w:multiLevelType w:val="singleLevel"/>
    <w:tmpl w:val="7CE4FF77"/>
    <w:lvl w:ilvl="0" w:tentative="0">
      <w:start w:val="1"/>
      <w:numFmt w:val="decimal"/>
      <w:suff w:val="nothing"/>
      <w:lvlText w:val="（%1）"/>
      <w:lvlJc w:val="left"/>
    </w:lvl>
  </w:abstractNum>
  <w:num w:numId="1">
    <w:abstractNumId w:val="5"/>
  </w:num>
  <w:num w:numId="2">
    <w:abstractNumId w:val="1"/>
  </w:num>
  <w:num w:numId="3">
    <w:abstractNumId w:val="3"/>
  </w:num>
  <w:num w:numId="4">
    <w:abstractNumId w:val="0"/>
  </w:num>
  <w:num w:numId="5">
    <w:abstractNumId w:val="6"/>
  </w:num>
  <w:num w:numId="6">
    <w:abstractNumId w:val="2"/>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E0D"/>
    <w:rsid w:val="00002F9B"/>
    <w:rsid w:val="00004FE1"/>
    <w:rsid w:val="000103C5"/>
    <w:rsid w:val="0001136D"/>
    <w:rsid w:val="000134B0"/>
    <w:rsid w:val="00014F90"/>
    <w:rsid w:val="00015E41"/>
    <w:rsid w:val="000205FA"/>
    <w:rsid w:val="00025241"/>
    <w:rsid w:val="00025661"/>
    <w:rsid w:val="000268F6"/>
    <w:rsid w:val="00027264"/>
    <w:rsid w:val="00030C3B"/>
    <w:rsid w:val="000311AF"/>
    <w:rsid w:val="00032212"/>
    <w:rsid w:val="00033749"/>
    <w:rsid w:val="00033E61"/>
    <w:rsid w:val="00035225"/>
    <w:rsid w:val="0003653E"/>
    <w:rsid w:val="0004611E"/>
    <w:rsid w:val="00046893"/>
    <w:rsid w:val="0004751D"/>
    <w:rsid w:val="000509AA"/>
    <w:rsid w:val="0005557E"/>
    <w:rsid w:val="0005719A"/>
    <w:rsid w:val="00072B9A"/>
    <w:rsid w:val="000735D8"/>
    <w:rsid w:val="00076C5B"/>
    <w:rsid w:val="00077352"/>
    <w:rsid w:val="000805C0"/>
    <w:rsid w:val="00082BD8"/>
    <w:rsid w:val="000836D4"/>
    <w:rsid w:val="00083E32"/>
    <w:rsid w:val="000879C9"/>
    <w:rsid w:val="000917DC"/>
    <w:rsid w:val="00097E70"/>
    <w:rsid w:val="000A2A1B"/>
    <w:rsid w:val="000A31FC"/>
    <w:rsid w:val="000A380D"/>
    <w:rsid w:val="000A4B7E"/>
    <w:rsid w:val="000A6B64"/>
    <w:rsid w:val="000B1716"/>
    <w:rsid w:val="000B22AD"/>
    <w:rsid w:val="000B39C8"/>
    <w:rsid w:val="000C0A93"/>
    <w:rsid w:val="000C6196"/>
    <w:rsid w:val="000D1105"/>
    <w:rsid w:val="000D262C"/>
    <w:rsid w:val="000D26E5"/>
    <w:rsid w:val="000D2CBE"/>
    <w:rsid w:val="000E09AA"/>
    <w:rsid w:val="000E4141"/>
    <w:rsid w:val="000F38D7"/>
    <w:rsid w:val="000F491E"/>
    <w:rsid w:val="000F6448"/>
    <w:rsid w:val="00100CFA"/>
    <w:rsid w:val="001011CE"/>
    <w:rsid w:val="00102144"/>
    <w:rsid w:val="001041C7"/>
    <w:rsid w:val="00104D65"/>
    <w:rsid w:val="001106AA"/>
    <w:rsid w:val="00114D07"/>
    <w:rsid w:val="001167D0"/>
    <w:rsid w:val="00125919"/>
    <w:rsid w:val="00125F06"/>
    <w:rsid w:val="00126E42"/>
    <w:rsid w:val="00130017"/>
    <w:rsid w:val="00134B71"/>
    <w:rsid w:val="00135A4E"/>
    <w:rsid w:val="00135D30"/>
    <w:rsid w:val="00136F16"/>
    <w:rsid w:val="0014081E"/>
    <w:rsid w:val="001413BC"/>
    <w:rsid w:val="00143588"/>
    <w:rsid w:val="0014609A"/>
    <w:rsid w:val="0014650A"/>
    <w:rsid w:val="001534FF"/>
    <w:rsid w:val="00154C4F"/>
    <w:rsid w:val="0015693B"/>
    <w:rsid w:val="00165C00"/>
    <w:rsid w:val="00167BF4"/>
    <w:rsid w:val="0017433A"/>
    <w:rsid w:val="00176222"/>
    <w:rsid w:val="00181239"/>
    <w:rsid w:val="00181307"/>
    <w:rsid w:val="00182420"/>
    <w:rsid w:val="00183429"/>
    <w:rsid w:val="001845F3"/>
    <w:rsid w:val="0019014F"/>
    <w:rsid w:val="00191588"/>
    <w:rsid w:val="001924FA"/>
    <w:rsid w:val="001946DE"/>
    <w:rsid w:val="00194EC7"/>
    <w:rsid w:val="001A2C74"/>
    <w:rsid w:val="001A4415"/>
    <w:rsid w:val="001A5770"/>
    <w:rsid w:val="001B242C"/>
    <w:rsid w:val="001B394D"/>
    <w:rsid w:val="001B47D5"/>
    <w:rsid w:val="001B5627"/>
    <w:rsid w:val="001C29A6"/>
    <w:rsid w:val="001C32FE"/>
    <w:rsid w:val="001D37F5"/>
    <w:rsid w:val="001E2A21"/>
    <w:rsid w:val="001E4C5D"/>
    <w:rsid w:val="001E7ECC"/>
    <w:rsid w:val="001F091E"/>
    <w:rsid w:val="001F14E3"/>
    <w:rsid w:val="001F2610"/>
    <w:rsid w:val="001F7729"/>
    <w:rsid w:val="00200E6C"/>
    <w:rsid w:val="00203363"/>
    <w:rsid w:val="002035C9"/>
    <w:rsid w:val="00203EBD"/>
    <w:rsid w:val="00207904"/>
    <w:rsid w:val="002104C4"/>
    <w:rsid w:val="00211EA1"/>
    <w:rsid w:val="00214270"/>
    <w:rsid w:val="00217ACE"/>
    <w:rsid w:val="00231114"/>
    <w:rsid w:val="002319D8"/>
    <w:rsid w:val="00232F4B"/>
    <w:rsid w:val="00235B46"/>
    <w:rsid w:val="002448DD"/>
    <w:rsid w:val="00250453"/>
    <w:rsid w:val="002539C6"/>
    <w:rsid w:val="002545E5"/>
    <w:rsid w:val="002559D2"/>
    <w:rsid w:val="00265A83"/>
    <w:rsid w:val="00266B2D"/>
    <w:rsid w:val="00266B30"/>
    <w:rsid w:val="00267F0D"/>
    <w:rsid w:val="002761E8"/>
    <w:rsid w:val="00280A2B"/>
    <w:rsid w:val="00280FF6"/>
    <w:rsid w:val="0028207B"/>
    <w:rsid w:val="00282A71"/>
    <w:rsid w:val="00286916"/>
    <w:rsid w:val="0029383B"/>
    <w:rsid w:val="00294C60"/>
    <w:rsid w:val="0029742D"/>
    <w:rsid w:val="002A3DB5"/>
    <w:rsid w:val="002B13C0"/>
    <w:rsid w:val="002B25BB"/>
    <w:rsid w:val="002B525F"/>
    <w:rsid w:val="002B5D0A"/>
    <w:rsid w:val="002B617A"/>
    <w:rsid w:val="002B78F4"/>
    <w:rsid w:val="002C0071"/>
    <w:rsid w:val="002C3F33"/>
    <w:rsid w:val="002E67CC"/>
    <w:rsid w:val="002E7337"/>
    <w:rsid w:val="002F3CF3"/>
    <w:rsid w:val="002F4B4F"/>
    <w:rsid w:val="003003F5"/>
    <w:rsid w:val="00303EF1"/>
    <w:rsid w:val="0031263B"/>
    <w:rsid w:val="00312AF2"/>
    <w:rsid w:val="00320077"/>
    <w:rsid w:val="003209A5"/>
    <w:rsid w:val="00320CFD"/>
    <w:rsid w:val="00321391"/>
    <w:rsid w:val="003229E9"/>
    <w:rsid w:val="00332F9D"/>
    <w:rsid w:val="00332FFF"/>
    <w:rsid w:val="003344DB"/>
    <w:rsid w:val="00337F2D"/>
    <w:rsid w:val="00337FBC"/>
    <w:rsid w:val="003403A5"/>
    <w:rsid w:val="00341C9B"/>
    <w:rsid w:val="00341FEE"/>
    <w:rsid w:val="00345A02"/>
    <w:rsid w:val="003521DA"/>
    <w:rsid w:val="0035782F"/>
    <w:rsid w:val="00365552"/>
    <w:rsid w:val="003678C7"/>
    <w:rsid w:val="00370DE5"/>
    <w:rsid w:val="00371E76"/>
    <w:rsid w:val="00372BCA"/>
    <w:rsid w:val="00373849"/>
    <w:rsid w:val="003833E7"/>
    <w:rsid w:val="003836EA"/>
    <w:rsid w:val="00387369"/>
    <w:rsid w:val="003909FB"/>
    <w:rsid w:val="003A6CF6"/>
    <w:rsid w:val="003A77FE"/>
    <w:rsid w:val="003A79FB"/>
    <w:rsid w:val="003B0E1B"/>
    <w:rsid w:val="003B2A59"/>
    <w:rsid w:val="003B2BEE"/>
    <w:rsid w:val="003B3427"/>
    <w:rsid w:val="003C1071"/>
    <w:rsid w:val="003D29A0"/>
    <w:rsid w:val="003D31D7"/>
    <w:rsid w:val="003D3857"/>
    <w:rsid w:val="003D581D"/>
    <w:rsid w:val="003D72C1"/>
    <w:rsid w:val="003E204D"/>
    <w:rsid w:val="003E4614"/>
    <w:rsid w:val="003E5753"/>
    <w:rsid w:val="003E5C35"/>
    <w:rsid w:val="003E638F"/>
    <w:rsid w:val="003E6C1D"/>
    <w:rsid w:val="003F0577"/>
    <w:rsid w:val="003F50D8"/>
    <w:rsid w:val="003F51E5"/>
    <w:rsid w:val="003F594C"/>
    <w:rsid w:val="003F5B2B"/>
    <w:rsid w:val="003F6FF3"/>
    <w:rsid w:val="0040184A"/>
    <w:rsid w:val="00404124"/>
    <w:rsid w:val="0040560C"/>
    <w:rsid w:val="00413481"/>
    <w:rsid w:val="00414080"/>
    <w:rsid w:val="00414373"/>
    <w:rsid w:val="00417C5B"/>
    <w:rsid w:val="00422C20"/>
    <w:rsid w:val="004303D5"/>
    <w:rsid w:val="00432623"/>
    <w:rsid w:val="004336D1"/>
    <w:rsid w:val="0043412E"/>
    <w:rsid w:val="0044215E"/>
    <w:rsid w:val="00445794"/>
    <w:rsid w:val="0045110D"/>
    <w:rsid w:val="00453074"/>
    <w:rsid w:val="00453382"/>
    <w:rsid w:val="00455974"/>
    <w:rsid w:val="00456E32"/>
    <w:rsid w:val="004651E9"/>
    <w:rsid w:val="00467633"/>
    <w:rsid w:val="00467886"/>
    <w:rsid w:val="004732B0"/>
    <w:rsid w:val="004747ED"/>
    <w:rsid w:val="00477549"/>
    <w:rsid w:val="00480775"/>
    <w:rsid w:val="00480F88"/>
    <w:rsid w:val="004824F6"/>
    <w:rsid w:val="00485E90"/>
    <w:rsid w:val="004872CF"/>
    <w:rsid w:val="00487545"/>
    <w:rsid w:val="0049260D"/>
    <w:rsid w:val="0049290B"/>
    <w:rsid w:val="0049413B"/>
    <w:rsid w:val="004959E1"/>
    <w:rsid w:val="00496E1B"/>
    <w:rsid w:val="004A1E07"/>
    <w:rsid w:val="004A3C2A"/>
    <w:rsid w:val="004A4292"/>
    <w:rsid w:val="004A5835"/>
    <w:rsid w:val="004B460F"/>
    <w:rsid w:val="004B5BE2"/>
    <w:rsid w:val="004B6F3F"/>
    <w:rsid w:val="004C47F1"/>
    <w:rsid w:val="004C502D"/>
    <w:rsid w:val="004C5224"/>
    <w:rsid w:val="004C7F30"/>
    <w:rsid w:val="004D3A15"/>
    <w:rsid w:val="004E049E"/>
    <w:rsid w:val="004E7C83"/>
    <w:rsid w:val="004F30B6"/>
    <w:rsid w:val="004F4F61"/>
    <w:rsid w:val="004F5168"/>
    <w:rsid w:val="004F7527"/>
    <w:rsid w:val="00502173"/>
    <w:rsid w:val="0050634D"/>
    <w:rsid w:val="00506AC7"/>
    <w:rsid w:val="005106DF"/>
    <w:rsid w:val="00511AC4"/>
    <w:rsid w:val="00513306"/>
    <w:rsid w:val="005142BC"/>
    <w:rsid w:val="00514894"/>
    <w:rsid w:val="00520DEB"/>
    <w:rsid w:val="00524B39"/>
    <w:rsid w:val="0052767B"/>
    <w:rsid w:val="00531F79"/>
    <w:rsid w:val="005365C2"/>
    <w:rsid w:val="00536AFA"/>
    <w:rsid w:val="00537BAA"/>
    <w:rsid w:val="00537CAD"/>
    <w:rsid w:val="00542B89"/>
    <w:rsid w:val="0054485C"/>
    <w:rsid w:val="00546BDB"/>
    <w:rsid w:val="0055058A"/>
    <w:rsid w:val="005528F4"/>
    <w:rsid w:val="00560701"/>
    <w:rsid w:val="005621C8"/>
    <w:rsid w:val="00562C47"/>
    <w:rsid w:val="00565E0D"/>
    <w:rsid w:val="005711DA"/>
    <w:rsid w:val="00575081"/>
    <w:rsid w:val="00582A7A"/>
    <w:rsid w:val="00585F26"/>
    <w:rsid w:val="005872A1"/>
    <w:rsid w:val="00591415"/>
    <w:rsid w:val="005971E7"/>
    <w:rsid w:val="00597EAF"/>
    <w:rsid w:val="005A12F1"/>
    <w:rsid w:val="005A2451"/>
    <w:rsid w:val="005A4067"/>
    <w:rsid w:val="005A4905"/>
    <w:rsid w:val="005B4FF3"/>
    <w:rsid w:val="005C0601"/>
    <w:rsid w:val="005C070D"/>
    <w:rsid w:val="005C6E1B"/>
    <w:rsid w:val="005D3D9C"/>
    <w:rsid w:val="005E2BDE"/>
    <w:rsid w:val="005E5A01"/>
    <w:rsid w:val="005F39B0"/>
    <w:rsid w:val="005F3A83"/>
    <w:rsid w:val="005F5A20"/>
    <w:rsid w:val="005F77A1"/>
    <w:rsid w:val="00600A9E"/>
    <w:rsid w:val="00602B41"/>
    <w:rsid w:val="00611E85"/>
    <w:rsid w:val="00614C37"/>
    <w:rsid w:val="00615224"/>
    <w:rsid w:val="00615BF0"/>
    <w:rsid w:val="0061675F"/>
    <w:rsid w:val="00617277"/>
    <w:rsid w:val="00617EE5"/>
    <w:rsid w:val="00620F85"/>
    <w:rsid w:val="006224D4"/>
    <w:rsid w:val="0062407E"/>
    <w:rsid w:val="00627606"/>
    <w:rsid w:val="00635EC0"/>
    <w:rsid w:val="0064114F"/>
    <w:rsid w:val="00641382"/>
    <w:rsid w:val="006462B0"/>
    <w:rsid w:val="006517BC"/>
    <w:rsid w:val="00661992"/>
    <w:rsid w:val="00663885"/>
    <w:rsid w:val="006709DC"/>
    <w:rsid w:val="00671B9D"/>
    <w:rsid w:val="00673F66"/>
    <w:rsid w:val="00674350"/>
    <w:rsid w:val="00680BE0"/>
    <w:rsid w:val="00682959"/>
    <w:rsid w:val="006875E1"/>
    <w:rsid w:val="00691415"/>
    <w:rsid w:val="00693642"/>
    <w:rsid w:val="006957D3"/>
    <w:rsid w:val="006960B7"/>
    <w:rsid w:val="006A2F04"/>
    <w:rsid w:val="006A2FB8"/>
    <w:rsid w:val="006A6A7C"/>
    <w:rsid w:val="006B11B3"/>
    <w:rsid w:val="006B1DA0"/>
    <w:rsid w:val="006B537E"/>
    <w:rsid w:val="006B746B"/>
    <w:rsid w:val="006B748E"/>
    <w:rsid w:val="006B7D58"/>
    <w:rsid w:val="006C13AD"/>
    <w:rsid w:val="006C64FA"/>
    <w:rsid w:val="006D6904"/>
    <w:rsid w:val="006D6D22"/>
    <w:rsid w:val="006E12FA"/>
    <w:rsid w:val="006E2B2F"/>
    <w:rsid w:val="006E50A0"/>
    <w:rsid w:val="006E5E92"/>
    <w:rsid w:val="006F01BA"/>
    <w:rsid w:val="007034A4"/>
    <w:rsid w:val="00705E8A"/>
    <w:rsid w:val="00707913"/>
    <w:rsid w:val="00707927"/>
    <w:rsid w:val="00712498"/>
    <w:rsid w:val="00712F7A"/>
    <w:rsid w:val="00716DDF"/>
    <w:rsid w:val="00721DAC"/>
    <w:rsid w:val="00724693"/>
    <w:rsid w:val="007247F0"/>
    <w:rsid w:val="00724A1A"/>
    <w:rsid w:val="00726385"/>
    <w:rsid w:val="00730B48"/>
    <w:rsid w:val="00735225"/>
    <w:rsid w:val="00737F0F"/>
    <w:rsid w:val="00741AEA"/>
    <w:rsid w:val="0074480A"/>
    <w:rsid w:val="0074602A"/>
    <w:rsid w:val="007461FC"/>
    <w:rsid w:val="007466F5"/>
    <w:rsid w:val="00747FF7"/>
    <w:rsid w:val="00752C30"/>
    <w:rsid w:val="00752E65"/>
    <w:rsid w:val="00756514"/>
    <w:rsid w:val="00756C85"/>
    <w:rsid w:val="00763D81"/>
    <w:rsid w:val="00766064"/>
    <w:rsid w:val="00766294"/>
    <w:rsid w:val="00766CFD"/>
    <w:rsid w:val="00767B52"/>
    <w:rsid w:val="00767BF0"/>
    <w:rsid w:val="00770453"/>
    <w:rsid w:val="00772B4B"/>
    <w:rsid w:val="00772DE3"/>
    <w:rsid w:val="00772FC6"/>
    <w:rsid w:val="00774405"/>
    <w:rsid w:val="007757B4"/>
    <w:rsid w:val="00780048"/>
    <w:rsid w:val="007808D7"/>
    <w:rsid w:val="007848E0"/>
    <w:rsid w:val="00785FF9"/>
    <w:rsid w:val="00795996"/>
    <w:rsid w:val="00797AB9"/>
    <w:rsid w:val="007A0696"/>
    <w:rsid w:val="007A1422"/>
    <w:rsid w:val="007A1DD4"/>
    <w:rsid w:val="007A32C3"/>
    <w:rsid w:val="007A39C8"/>
    <w:rsid w:val="007A6A94"/>
    <w:rsid w:val="007B238C"/>
    <w:rsid w:val="007B2BD3"/>
    <w:rsid w:val="007C1BA8"/>
    <w:rsid w:val="007C3E2A"/>
    <w:rsid w:val="007C57C4"/>
    <w:rsid w:val="007C79F0"/>
    <w:rsid w:val="007D42DD"/>
    <w:rsid w:val="007D4434"/>
    <w:rsid w:val="007D71B2"/>
    <w:rsid w:val="007D7EBB"/>
    <w:rsid w:val="007E10F6"/>
    <w:rsid w:val="007E255E"/>
    <w:rsid w:val="007E51FC"/>
    <w:rsid w:val="007E7C74"/>
    <w:rsid w:val="007E7F19"/>
    <w:rsid w:val="007F1DFA"/>
    <w:rsid w:val="007F4019"/>
    <w:rsid w:val="007F7A4A"/>
    <w:rsid w:val="008054C9"/>
    <w:rsid w:val="008104A5"/>
    <w:rsid w:val="00814833"/>
    <w:rsid w:val="00815C1C"/>
    <w:rsid w:val="00822EA1"/>
    <w:rsid w:val="00824801"/>
    <w:rsid w:val="008278F9"/>
    <w:rsid w:val="00832AE4"/>
    <w:rsid w:val="008334BE"/>
    <w:rsid w:val="008347BD"/>
    <w:rsid w:val="00835B9F"/>
    <w:rsid w:val="00837398"/>
    <w:rsid w:val="008405EC"/>
    <w:rsid w:val="0084240A"/>
    <w:rsid w:val="008432F5"/>
    <w:rsid w:val="0084688A"/>
    <w:rsid w:val="00851CE9"/>
    <w:rsid w:val="008537F8"/>
    <w:rsid w:val="00854362"/>
    <w:rsid w:val="00863379"/>
    <w:rsid w:val="008659DE"/>
    <w:rsid w:val="00872299"/>
    <w:rsid w:val="00880DE3"/>
    <w:rsid w:val="00881CDB"/>
    <w:rsid w:val="00882001"/>
    <w:rsid w:val="0088451F"/>
    <w:rsid w:val="00885124"/>
    <w:rsid w:val="008936A8"/>
    <w:rsid w:val="00893D3D"/>
    <w:rsid w:val="008962F8"/>
    <w:rsid w:val="008A1899"/>
    <w:rsid w:val="008B320D"/>
    <w:rsid w:val="008B39ED"/>
    <w:rsid w:val="008B5C78"/>
    <w:rsid w:val="008C2ABD"/>
    <w:rsid w:val="008C6C97"/>
    <w:rsid w:val="008C77D7"/>
    <w:rsid w:val="008D3037"/>
    <w:rsid w:val="008D76C0"/>
    <w:rsid w:val="008E0377"/>
    <w:rsid w:val="008E27DE"/>
    <w:rsid w:val="008E2B62"/>
    <w:rsid w:val="008E4754"/>
    <w:rsid w:val="008E5FF8"/>
    <w:rsid w:val="008F0F06"/>
    <w:rsid w:val="008F3A4B"/>
    <w:rsid w:val="008F3E69"/>
    <w:rsid w:val="008F618B"/>
    <w:rsid w:val="0090799E"/>
    <w:rsid w:val="0091211E"/>
    <w:rsid w:val="009127C3"/>
    <w:rsid w:val="00914521"/>
    <w:rsid w:val="00917066"/>
    <w:rsid w:val="009205B6"/>
    <w:rsid w:val="0092724E"/>
    <w:rsid w:val="00933B7B"/>
    <w:rsid w:val="009417D7"/>
    <w:rsid w:val="00944D86"/>
    <w:rsid w:val="0094546E"/>
    <w:rsid w:val="009475A7"/>
    <w:rsid w:val="009558F2"/>
    <w:rsid w:val="009617F0"/>
    <w:rsid w:val="009624D2"/>
    <w:rsid w:val="00963217"/>
    <w:rsid w:val="009636E2"/>
    <w:rsid w:val="0096434D"/>
    <w:rsid w:val="00967BB9"/>
    <w:rsid w:val="00971264"/>
    <w:rsid w:val="00971498"/>
    <w:rsid w:val="00972928"/>
    <w:rsid w:val="0098168F"/>
    <w:rsid w:val="009838F6"/>
    <w:rsid w:val="0098625F"/>
    <w:rsid w:val="0099306D"/>
    <w:rsid w:val="00994CE7"/>
    <w:rsid w:val="00996546"/>
    <w:rsid w:val="009A136F"/>
    <w:rsid w:val="009A2898"/>
    <w:rsid w:val="009A30B0"/>
    <w:rsid w:val="009A6E5F"/>
    <w:rsid w:val="009A719F"/>
    <w:rsid w:val="009B1D8D"/>
    <w:rsid w:val="009B1F5F"/>
    <w:rsid w:val="009B4B67"/>
    <w:rsid w:val="009B6A2C"/>
    <w:rsid w:val="009B6E45"/>
    <w:rsid w:val="009C0317"/>
    <w:rsid w:val="009C13D9"/>
    <w:rsid w:val="009C6A5F"/>
    <w:rsid w:val="009D0749"/>
    <w:rsid w:val="009D0E2A"/>
    <w:rsid w:val="009D3A79"/>
    <w:rsid w:val="009D47E2"/>
    <w:rsid w:val="009D79EF"/>
    <w:rsid w:val="009E119A"/>
    <w:rsid w:val="009E1B8D"/>
    <w:rsid w:val="009E36F0"/>
    <w:rsid w:val="009E5E25"/>
    <w:rsid w:val="009F256E"/>
    <w:rsid w:val="009F593D"/>
    <w:rsid w:val="00A001EB"/>
    <w:rsid w:val="00A0184C"/>
    <w:rsid w:val="00A025D5"/>
    <w:rsid w:val="00A0393E"/>
    <w:rsid w:val="00A060F7"/>
    <w:rsid w:val="00A06451"/>
    <w:rsid w:val="00A06D3F"/>
    <w:rsid w:val="00A12BF9"/>
    <w:rsid w:val="00A147AF"/>
    <w:rsid w:val="00A15397"/>
    <w:rsid w:val="00A22536"/>
    <w:rsid w:val="00A22C0D"/>
    <w:rsid w:val="00A25D07"/>
    <w:rsid w:val="00A26AB2"/>
    <w:rsid w:val="00A27C63"/>
    <w:rsid w:val="00A32190"/>
    <w:rsid w:val="00A373F3"/>
    <w:rsid w:val="00A40532"/>
    <w:rsid w:val="00A43F89"/>
    <w:rsid w:val="00A56789"/>
    <w:rsid w:val="00A56B2A"/>
    <w:rsid w:val="00A629F0"/>
    <w:rsid w:val="00A62EFD"/>
    <w:rsid w:val="00A63DF5"/>
    <w:rsid w:val="00A64897"/>
    <w:rsid w:val="00A64D1B"/>
    <w:rsid w:val="00A657BE"/>
    <w:rsid w:val="00A673DE"/>
    <w:rsid w:val="00A67FB0"/>
    <w:rsid w:val="00A7184A"/>
    <w:rsid w:val="00A73619"/>
    <w:rsid w:val="00A73C83"/>
    <w:rsid w:val="00A76439"/>
    <w:rsid w:val="00A77700"/>
    <w:rsid w:val="00A86DFB"/>
    <w:rsid w:val="00A90C70"/>
    <w:rsid w:val="00A94703"/>
    <w:rsid w:val="00A95479"/>
    <w:rsid w:val="00A963E0"/>
    <w:rsid w:val="00AA0AD9"/>
    <w:rsid w:val="00AA37AD"/>
    <w:rsid w:val="00AA3F41"/>
    <w:rsid w:val="00AA424D"/>
    <w:rsid w:val="00AB00DB"/>
    <w:rsid w:val="00AB3C7C"/>
    <w:rsid w:val="00AB553C"/>
    <w:rsid w:val="00AB5CC8"/>
    <w:rsid w:val="00AC0715"/>
    <w:rsid w:val="00AC472D"/>
    <w:rsid w:val="00AC4AA4"/>
    <w:rsid w:val="00AC6FED"/>
    <w:rsid w:val="00AD35AF"/>
    <w:rsid w:val="00AD4D69"/>
    <w:rsid w:val="00AD78E3"/>
    <w:rsid w:val="00AD7A6B"/>
    <w:rsid w:val="00AE190D"/>
    <w:rsid w:val="00AE5567"/>
    <w:rsid w:val="00AE6BED"/>
    <w:rsid w:val="00AF7B7A"/>
    <w:rsid w:val="00B030C3"/>
    <w:rsid w:val="00B0455A"/>
    <w:rsid w:val="00B049CC"/>
    <w:rsid w:val="00B06662"/>
    <w:rsid w:val="00B16E4F"/>
    <w:rsid w:val="00B238F9"/>
    <w:rsid w:val="00B24314"/>
    <w:rsid w:val="00B36005"/>
    <w:rsid w:val="00B43924"/>
    <w:rsid w:val="00B455F6"/>
    <w:rsid w:val="00B51B7B"/>
    <w:rsid w:val="00B5228E"/>
    <w:rsid w:val="00B527B8"/>
    <w:rsid w:val="00B542F7"/>
    <w:rsid w:val="00B70719"/>
    <w:rsid w:val="00B70BB4"/>
    <w:rsid w:val="00B71F56"/>
    <w:rsid w:val="00B72E65"/>
    <w:rsid w:val="00B7516A"/>
    <w:rsid w:val="00B80BD8"/>
    <w:rsid w:val="00B81185"/>
    <w:rsid w:val="00B874F7"/>
    <w:rsid w:val="00BA01CB"/>
    <w:rsid w:val="00BA17A5"/>
    <w:rsid w:val="00BA793E"/>
    <w:rsid w:val="00BB2A35"/>
    <w:rsid w:val="00BB6248"/>
    <w:rsid w:val="00BC3A0E"/>
    <w:rsid w:val="00BC3D57"/>
    <w:rsid w:val="00BC4B35"/>
    <w:rsid w:val="00BC5F99"/>
    <w:rsid w:val="00BC7B87"/>
    <w:rsid w:val="00BD15AC"/>
    <w:rsid w:val="00BD77DD"/>
    <w:rsid w:val="00BE17A7"/>
    <w:rsid w:val="00BE1890"/>
    <w:rsid w:val="00BF0682"/>
    <w:rsid w:val="00BF2747"/>
    <w:rsid w:val="00BF3F0C"/>
    <w:rsid w:val="00C05CCA"/>
    <w:rsid w:val="00C07F95"/>
    <w:rsid w:val="00C132D8"/>
    <w:rsid w:val="00C13A1C"/>
    <w:rsid w:val="00C16752"/>
    <w:rsid w:val="00C24C31"/>
    <w:rsid w:val="00C2581E"/>
    <w:rsid w:val="00C30D5F"/>
    <w:rsid w:val="00C3119D"/>
    <w:rsid w:val="00C33CC5"/>
    <w:rsid w:val="00C3434F"/>
    <w:rsid w:val="00C406FE"/>
    <w:rsid w:val="00C40EB6"/>
    <w:rsid w:val="00C42D17"/>
    <w:rsid w:val="00C47137"/>
    <w:rsid w:val="00C4715E"/>
    <w:rsid w:val="00C47DD6"/>
    <w:rsid w:val="00C60056"/>
    <w:rsid w:val="00C674C8"/>
    <w:rsid w:val="00C677C5"/>
    <w:rsid w:val="00C81985"/>
    <w:rsid w:val="00C91833"/>
    <w:rsid w:val="00C92445"/>
    <w:rsid w:val="00CA125B"/>
    <w:rsid w:val="00CA3F72"/>
    <w:rsid w:val="00CA639D"/>
    <w:rsid w:val="00CA6ED3"/>
    <w:rsid w:val="00CB2F16"/>
    <w:rsid w:val="00CB479D"/>
    <w:rsid w:val="00CB539D"/>
    <w:rsid w:val="00CC0DDC"/>
    <w:rsid w:val="00CC2DFE"/>
    <w:rsid w:val="00CC507C"/>
    <w:rsid w:val="00CD0894"/>
    <w:rsid w:val="00CD4F2D"/>
    <w:rsid w:val="00CD5A4F"/>
    <w:rsid w:val="00CE17DF"/>
    <w:rsid w:val="00CE2AC1"/>
    <w:rsid w:val="00CE508D"/>
    <w:rsid w:val="00CE652E"/>
    <w:rsid w:val="00CF0402"/>
    <w:rsid w:val="00CF3ADB"/>
    <w:rsid w:val="00CF4ABF"/>
    <w:rsid w:val="00D038A1"/>
    <w:rsid w:val="00D07760"/>
    <w:rsid w:val="00D11BAB"/>
    <w:rsid w:val="00D13BB0"/>
    <w:rsid w:val="00D152B3"/>
    <w:rsid w:val="00D17BDC"/>
    <w:rsid w:val="00D22DD1"/>
    <w:rsid w:val="00D230F0"/>
    <w:rsid w:val="00D234F7"/>
    <w:rsid w:val="00D23BDC"/>
    <w:rsid w:val="00D27C51"/>
    <w:rsid w:val="00D3194D"/>
    <w:rsid w:val="00D319D1"/>
    <w:rsid w:val="00D31E41"/>
    <w:rsid w:val="00D34F60"/>
    <w:rsid w:val="00D35DA1"/>
    <w:rsid w:val="00D417FB"/>
    <w:rsid w:val="00D41FF9"/>
    <w:rsid w:val="00D42B0C"/>
    <w:rsid w:val="00D44A75"/>
    <w:rsid w:val="00D459DB"/>
    <w:rsid w:val="00D51D42"/>
    <w:rsid w:val="00D52251"/>
    <w:rsid w:val="00D559F6"/>
    <w:rsid w:val="00D57679"/>
    <w:rsid w:val="00D64C06"/>
    <w:rsid w:val="00D672EC"/>
    <w:rsid w:val="00D74B25"/>
    <w:rsid w:val="00D754BB"/>
    <w:rsid w:val="00D7586F"/>
    <w:rsid w:val="00D81477"/>
    <w:rsid w:val="00D81E3E"/>
    <w:rsid w:val="00D92333"/>
    <w:rsid w:val="00D9380C"/>
    <w:rsid w:val="00DA01C0"/>
    <w:rsid w:val="00DA3633"/>
    <w:rsid w:val="00DA3A6C"/>
    <w:rsid w:val="00DA3F0B"/>
    <w:rsid w:val="00DA4BE9"/>
    <w:rsid w:val="00DA6C03"/>
    <w:rsid w:val="00DA6EFB"/>
    <w:rsid w:val="00DB097E"/>
    <w:rsid w:val="00DB1F42"/>
    <w:rsid w:val="00DB1F72"/>
    <w:rsid w:val="00DC3DDB"/>
    <w:rsid w:val="00DD0D67"/>
    <w:rsid w:val="00DD4D4D"/>
    <w:rsid w:val="00DE2BBE"/>
    <w:rsid w:val="00DE5696"/>
    <w:rsid w:val="00DE5D87"/>
    <w:rsid w:val="00DE757C"/>
    <w:rsid w:val="00DE7B85"/>
    <w:rsid w:val="00E01C5B"/>
    <w:rsid w:val="00E05BF6"/>
    <w:rsid w:val="00E06B5D"/>
    <w:rsid w:val="00E10452"/>
    <w:rsid w:val="00E160DF"/>
    <w:rsid w:val="00E16A01"/>
    <w:rsid w:val="00E20B9D"/>
    <w:rsid w:val="00E30DAB"/>
    <w:rsid w:val="00E3345F"/>
    <w:rsid w:val="00E33952"/>
    <w:rsid w:val="00E40A4F"/>
    <w:rsid w:val="00E424D8"/>
    <w:rsid w:val="00E43EA5"/>
    <w:rsid w:val="00E51E2C"/>
    <w:rsid w:val="00E52C2C"/>
    <w:rsid w:val="00E53169"/>
    <w:rsid w:val="00E539D4"/>
    <w:rsid w:val="00E545EB"/>
    <w:rsid w:val="00E56B9E"/>
    <w:rsid w:val="00E63D5C"/>
    <w:rsid w:val="00E65A97"/>
    <w:rsid w:val="00E661DE"/>
    <w:rsid w:val="00E67F34"/>
    <w:rsid w:val="00E70EC8"/>
    <w:rsid w:val="00E73321"/>
    <w:rsid w:val="00E7432F"/>
    <w:rsid w:val="00E75E0D"/>
    <w:rsid w:val="00E765F3"/>
    <w:rsid w:val="00E80D23"/>
    <w:rsid w:val="00E83F03"/>
    <w:rsid w:val="00E90AF0"/>
    <w:rsid w:val="00E90C6E"/>
    <w:rsid w:val="00E921F2"/>
    <w:rsid w:val="00E941B5"/>
    <w:rsid w:val="00E9550B"/>
    <w:rsid w:val="00E97524"/>
    <w:rsid w:val="00EA0907"/>
    <w:rsid w:val="00EA43BE"/>
    <w:rsid w:val="00EA4E67"/>
    <w:rsid w:val="00EA715A"/>
    <w:rsid w:val="00EC3D4C"/>
    <w:rsid w:val="00EC5D67"/>
    <w:rsid w:val="00ED050F"/>
    <w:rsid w:val="00ED0CA9"/>
    <w:rsid w:val="00EE1343"/>
    <w:rsid w:val="00EE4EF7"/>
    <w:rsid w:val="00EF080B"/>
    <w:rsid w:val="00EF1BC9"/>
    <w:rsid w:val="00EF551B"/>
    <w:rsid w:val="00F0622B"/>
    <w:rsid w:val="00F06E37"/>
    <w:rsid w:val="00F11780"/>
    <w:rsid w:val="00F2102A"/>
    <w:rsid w:val="00F22A9B"/>
    <w:rsid w:val="00F25CBF"/>
    <w:rsid w:val="00F30135"/>
    <w:rsid w:val="00F31EFF"/>
    <w:rsid w:val="00F331E7"/>
    <w:rsid w:val="00F3542B"/>
    <w:rsid w:val="00F36D25"/>
    <w:rsid w:val="00F37359"/>
    <w:rsid w:val="00F41B96"/>
    <w:rsid w:val="00F42145"/>
    <w:rsid w:val="00F452DF"/>
    <w:rsid w:val="00F537C1"/>
    <w:rsid w:val="00F54110"/>
    <w:rsid w:val="00F54600"/>
    <w:rsid w:val="00F56568"/>
    <w:rsid w:val="00F60A4B"/>
    <w:rsid w:val="00F6324C"/>
    <w:rsid w:val="00F70D3A"/>
    <w:rsid w:val="00F76F1C"/>
    <w:rsid w:val="00F8189B"/>
    <w:rsid w:val="00F831C8"/>
    <w:rsid w:val="00F84D03"/>
    <w:rsid w:val="00F85F2B"/>
    <w:rsid w:val="00F86DE3"/>
    <w:rsid w:val="00F90C96"/>
    <w:rsid w:val="00FA4169"/>
    <w:rsid w:val="00FA4389"/>
    <w:rsid w:val="00FA52A2"/>
    <w:rsid w:val="00FA7092"/>
    <w:rsid w:val="00FA7E4B"/>
    <w:rsid w:val="00FB133A"/>
    <w:rsid w:val="00FB64B8"/>
    <w:rsid w:val="00FC3621"/>
    <w:rsid w:val="00FD315D"/>
    <w:rsid w:val="00FD449D"/>
    <w:rsid w:val="00FD6C13"/>
    <w:rsid w:val="00FE50E3"/>
    <w:rsid w:val="00FE5396"/>
    <w:rsid w:val="00FF0069"/>
    <w:rsid w:val="00FF0B61"/>
    <w:rsid w:val="00FF505C"/>
    <w:rsid w:val="02D516BE"/>
    <w:rsid w:val="039C52B6"/>
    <w:rsid w:val="05510BE7"/>
    <w:rsid w:val="06575399"/>
    <w:rsid w:val="06834147"/>
    <w:rsid w:val="089A43C4"/>
    <w:rsid w:val="09AC7FD2"/>
    <w:rsid w:val="0AEE08D7"/>
    <w:rsid w:val="0BE05EED"/>
    <w:rsid w:val="0CD32F2F"/>
    <w:rsid w:val="0DE13910"/>
    <w:rsid w:val="0E240E2C"/>
    <w:rsid w:val="0EFE1E30"/>
    <w:rsid w:val="11190E46"/>
    <w:rsid w:val="16614423"/>
    <w:rsid w:val="18675A62"/>
    <w:rsid w:val="1CF01837"/>
    <w:rsid w:val="1D5E62C6"/>
    <w:rsid w:val="1EF9CF2F"/>
    <w:rsid w:val="1FDA2D68"/>
    <w:rsid w:val="22384334"/>
    <w:rsid w:val="22CC31F6"/>
    <w:rsid w:val="26057982"/>
    <w:rsid w:val="276478BC"/>
    <w:rsid w:val="279159B8"/>
    <w:rsid w:val="27DF0A8E"/>
    <w:rsid w:val="28985B45"/>
    <w:rsid w:val="28E415FE"/>
    <w:rsid w:val="2A6F3AD2"/>
    <w:rsid w:val="2AA94D90"/>
    <w:rsid w:val="2B907FD3"/>
    <w:rsid w:val="2C257AFB"/>
    <w:rsid w:val="2C43758B"/>
    <w:rsid w:val="2C6C2D9B"/>
    <w:rsid w:val="2EDD4558"/>
    <w:rsid w:val="2F883E50"/>
    <w:rsid w:val="31702904"/>
    <w:rsid w:val="32CA0E54"/>
    <w:rsid w:val="34202D92"/>
    <w:rsid w:val="36DE8180"/>
    <w:rsid w:val="377A4EA8"/>
    <w:rsid w:val="37BF77CD"/>
    <w:rsid w:val="390A5E9D"/>
    <w:rsid w:val="397D49CC"/>
    <w:rsid w:val="399F5439"/>
    <w:rsid w:val="3A3FA965"/>
    <w:rsid w:val="3B680ACD"/>
    <w:rsid w:val="3BE680F0"/>
    <w:rsid w:val="3E5B28EE"/>
    <w:rsid w:val="3E791DE7"/>
    <w:rsid w:val="41BA52EB"/>
    <w:rsid w:val="4339522A"/>
    <w:rsid w:val="47B849FD"/>
    <w:rsid w:val="49FA0B63"/>
    <w:rsid w:val="4A320FEB"/>
    <w:rsid w:val="4BC9197F"/>
    <w:rsid w:val="4D102B55"/>
    <w:rsid w:val="4DB2474B"/>
    <w:rsid w:val="4DEC53CD"/>
    <w:rsid w:val="4E7808C8"/>
    <w:rsid w:val="4EFF349C"/>
    <w:rsid w:val="50102C97"/>
    <w:rsid w:val="517B291F"/>
    <w:rsid w:val="51E464C3"/>
    <w:rsid w:val="56E7DBAD"/>
    <w:rsid w:val="591143A3"/>
    <w:rsid w:val="59E51647"/>
    <w:rsid w:val="5B7C368B"/>
    <w:rsid w:val="5BAC6181"/>
    <w:rsid w:val="5BDDA92B"/>
    <w:rsid w:val="5DDD135D"/>
    <w:rsid w:val="5DDD9A7C"/>
    <w:rsid w:val="5EF97E08"/>
    <w:rsid w:val="5FBD4A36"/>
    <w:rsid w:val="5FBF8C35"/>
    <w:rsid w:val="5FDA2CFC"/>
    <w:rsid w:val="60192EA5"/>
    <w:rsid w:val="603E496C"/>
    <w:rsid w:val="604E5C87"/>
    <w:rsid w:val="60B61338"/>
    <w:rsid w:val="610539B6"/>
    <w:rsid w:val="64F6708B"/>
    <w:rsid w:val="669045EE"/>
    <w:rsid w:val="6CB579C7"/>
    <w:rsid w:val="6D7753A8"/>
    <w:rsid w:val="6DA5C2E4"/>
    <w:rsid w:val="73185CF4"/>
    <w:rsid w:val="73DA2F5F"/>
    <w:rsid w:val="74D7297A"/>
    <w:rsid w:val="753543BD"/>
    <w:rsid w:val="753C37D8"/>
    <w:rsid w:val="767EF3F9"/>
    <w:rsid w:val="76C60195"/>
    <w:rsid w:val="777F18CD"/>
    <w:rsid w:val="77DFBBEF"/>
    <w:rsid w:val="78145B7A"/>
    <w:rsid w:val="78A606A5"/>
    <w:rsid w:val="78C07143"/>
    <w:rsid w:val="79DF750A"/>
    <w:rsid w:val="7A443D48"/>
    <w:rsid w:val="7ADE1466"/>
    <w:rsid w:val="7AE4B4CA"/>
    <w:rsid w:val="7AF45FA1"/>
    <w:rsid w:val="7BBEA0F5"/>
    <w:rsid w:val="7CA23666"/>
    <w:rsid w:val="7D6F937A"/>
    <w:rsid w:val="7DFEEF71"/>
    <w:rsid w:val="7E464B21"/>
    <w:rsid w:val="7EDB1185"/>
    <w:rsid w:val="7EED6A8D"/>
    <w:rsid w:val="7F9FE45C"/>
    <w:rsid w:val="7FBB07DD"/>
    <w:rsid w:val="7FBB5D6E"/>
    <w:rsid w:val="7FD1AD7B"/>
    <w:rsid w:val="7FFE0E70"/>
    <w:rsid w:val="7FFFD4F8"/>
    <w:rsid w:val="9E7BCC48"/>
    <w:rsid w:val="9FFD416E"/>
    <w:rsid w:val="9FFE010F"/>
    <w:rsid w:val="A1B2B988"/>
    <w:rsid w:val="AEBFAC99"/>
    <w:rsid w:val="BBFDA020"/>
    <w:rsid w:val="BF7FD7B9"/>
    <w:rsid w:val="BFBE451E"/>
    <w:rsid w:val="BFEDF36A"/>
    <w:rsid w:val="BFEE200E"/>
    <w:rsid w:val="BFF790C1"/>
    <w:rsid w:val="CB4777D7"/>
    <w:rsid w:val="CFF79ED0"/>
    <w:rsid w:val="D6D9110D"/>
    <w:rsid w:val="DFAA4559"/>
    <w:rsid w:val="DFF70F0B"/>
    <w:rsid w:val="E76CA99D"/>
    <w:rsid w:val="EB681F41"/>
    <w:rsid w:val="ED9F497C"/>
    <w:rsid w:val="EDCFB524"/>
    <w:rsid w:val="EDEFFD25"/>
    <w:rsid w:val="EF8B7AC3"/>
    <w:rsid w:val="EF9DACFC"/>
    <w:rsid w:val="EFBDCE7A"/>
    <w:rsid w:val="EFEE698E"/>
    <w:rsid w:val="F5D33793"/>
    <w:rsid w:val="F5EA397B"/>
    <w:rsid w:val="F5FF5A0B"/>
    <w:rsid w:val="F727C04C"/>
    <w:rsid w:val="F7BDB0A3"/>
    <w:rsid w:val="F7FF1619"/>
    <w:rsid w:val="FABFB597"/>
    <w:rsid w:val="FAFFC152"/>
    <w:rsid w:val="FB3C54C3"/>
    <w:rsid w:val="FB750711"/>
    <w:rsid w:val="FC7F5F0B"/>
    <w:rsid w:val="FDF73E82"/>
    <w:rsid w:val="FE6F12F8"/>
    <w:rsid w:val="FEFFE1DF"/>
    <w:rsid w:val="FF47CB67"/>
    <w:rsid w:val="FF7DBC1C"/>
    <w:rsid w:val="FFB667FB"/>
    <w:rsid w:val="FFE7D0F6"/>
    <w:rsid w:val="FFEF6ECA"/>
    <w:rsid w:val="FFF68FE3"/>
    <w:rsid w:val="FFF84CF6"/>
    <w:rsid w:val="FFFE71AC"/>
    <w:rsid w:val="FFFF2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4"/>
    <w:qFormat/>
    <w:uiPriority w:val="9"/>
    <w:pPr>
      <w:autoSpaceDE w:val="0"/>
      <w:autoSpaceDN w:val="0"/>
      <w:spacing w:before="31"/>
      <w:ind w:left="737"/>
      <w:jc w:val="left"/>
      <w:outlineLvl w:val="0"/>
    </w:pPr>
    <w:rPr>
      <w:rFonts w:ascii="楷体" w:hAnsi="楷体" w:eastAsia="楷体" w:cs="楷体"/>
      <w:b/>
      <w:bCs/>
      <w:kern w:val="0"/>
      <w:sz w:val="32"/>
      <w:szCs w:val="32"/>
      <w:lang w:eastAsia="en-US"/>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ind w:firstLine="420"/>
    </w:pPr>
  </w:style>
  <w:style w:type="paragraph" w:styleId="4">
    <w:name w:val="annotation text"/>
    <w:basedOn w:val="1"/>
    <w:link w:val="19"/>
    <w:unhideWhenUsed/>
    <w:qFormat/>
    <w:uiPriority w:val="99"/>
    <w:pPr>
      <w:jc w:val="left"/>
    </w:pPr>
  </w:style>
  <w:style w:type="paragraph" w:styleId="5">
    <w:name w:val="Body Text"/>
    <w:basedOn w:val="1"/>
    <w:link w:val="23"/>
    <w:qFormat/>
    <w:uiPriority w:val="1"/>
    <w:pPr>
      <w:autoSpaceDE w:val="0"/>
      <w:autoSpaceDN w:val="0"/>
      <w:spacing w:before="140"/>
      <w:ind w:left="111"/>
      <w:jc w:val="left"/>
    </w:pPr>
    <w:rPr>
      <w:rFonts w:ascii="仿宋_GB2312" w:hAnsi="仿宋_GB2312" w:eastAsia="仿宋_GB2312" w:cs="仿宋_GB2312"/>
      <w:kern w:val="0"/>
      <w:sz w:val="32"/>
      <w:szCs w:val="32"/>
      <w:lang w:eastAsia="en-US"/>
    </w:rPr>
  </w:style>
  <w:style w:type="paragraph" w:styleId="6">
    <w:name w:val="Balloon Text"/>
    <w:basedOn w:val="1"/>
    <w:link w:val="21"/>
    <w:semiHidden/>
    <w:unhideWhenUsed/>
    <w:qFormat/>
    <w:uiPriority w:val="99"/>
    <w:rPr>
      <w:rFonts w:ascii="宋体"/>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10">
    <w:name w:val="annotation subject"/>
    <w:basedOn w:val="4"/>
    <w:next w:val="4"/>
    <w:link w:val="20"/>
    <w:semiHidden/>
    <w:unhideWhenUsed/>
    <w:qFormat/>
    <w:uiPriority w:val="99"/>
    <w:rPr>
      <w:b/>
      <w:bCs/>
    </w:rPr>
  </w:style>
  <w:style w:type="character" w:styleId="13">
    <w:name w:val="annotation reference"/>
    <w:basedOn w:val="12"/>
    <w:semiHidden/>
    <w:unhideWhenUsed/>
    <w:qFormat/>
    <w:uiPriority w:val="99"/>
    <w:rPr>
      <w:sz w:val="21"/>
      <w:szCs w:val="21"/>
    </w:rPr>
  </w:style>
  <w:style w:type="paragraph" w:customStyle="1" w:styleId="14">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
    <w:name w:val="彩色列表 - 着色 11"/>
    <w:basedOn w:val="1"/>
    <w:qFormat/>
    <w:uiPriority w:val="34"/>
    <w:pPr>
      <w:spacing w:line="440" w:lineRule="exact"/>
      <w:ind w:firstLine="420" w:firstLineChars="200"/>
    </w:pPr>
    <w:rPr>
      <w:rFonts w:ascii="Arial" w:hAnsi="Arial"/>
      <w:szCs w:val="24"/>
    </w:rPr>
  </w:style>
  <w:style w:type="character" w:customStyle="1" w:styleId="16">
    <w:name w:val="页眉 字符"/>
    <w:basedOn w:val="12"/>
    <w:link w:val="8"/>
    <w:qFormat/>
    <w:uiPriority w:val="99"/>
    <w:rPr>
      <w:rFonts w:ascii="Calibri" w:hAnsi="Calibri" w:eastAsia="宋体" w:cs="Times New Roman"/>
      <w:sz w:val="18"/>
      <w:szCs w:val="18"/>
    </w:rPr>
  </w:style>
  <w:style w:type="character" w:customStyle="1" w:styleId="17">
    <w:name w:val="页脚 字符"/>
    <w:basedOn w:val="12"/>
    <w:link w:val="7"/>
    <w:qFormat/>
    <w:uiPriority w:val="99"/>
    <w:rPr>
      <w:rFonts w:ascii="Calibri" w:hAnsi="Calibri" w:eastAsia="宋体" w:cs="Times New Roman"/>
      <w:sz w:val="18"/>
      <w:szCs w:val="18"/>
    </w:rPr>
  </w:style>
  <w:style w:type="paragraph" w:customStyle="1" w:styleId="18">
    <w:name w:val="_Style 1"/>
    <w:basedOn w:val="1"/>
    <w:qFormat/>
    <w:uiPriority w:val="34"/>
    <w:pPr>
      <w:ind w:firstLine="420" w:firstLineChars="200"/>
    </w:pPr>
    <w:rPr>
      <w:szCs w:val="24"/>
    </w:rPr>
  </w:style>
  <w:style w:type="character" w:customStyle="1" w:styleId="19">
    <w:name w:val="批注文字 字符"/>
    <w:basedOn w:val="12"/>
    <w:link w:val="4"/>
    <w:qFormat/>
    <w:uiPriority w:val="99"/>
    <w:rPr>
      <w:rFonts w:ascii="Calibri" w:hAnsi="Calibri" w:eastAsia="宋体" w:cs="Times New Roman"/>
    </w:rPr>
  </w:style>
  <w:style w:type="character" w:customStyle="1" w:styleId="20">
    <w:name w:val="批注主题 字符"/>
    <w:basedOn w:val="19"/>
    <w:link w:val="10"/>
    <w:semiHidden/>
    <w:qFormat/>
    <w:uiPriority w:val="99"/>
    <w:rPr>
      <w:rFonts w:ascii="Calibri" w:hAnsi="Calibri" w:eastAsia="宋体" w:cs="Times New Roman"/>
      <w:b/>
      <w:bCs/>
    </w:rPr>
  </w:style>
  <w:style w:type="character" w:customStyle="1" w:styleId="21">
    <w:name w:val="批注框文本 字符"/>
    <w:basedOn w:val="12"/>
    <w:link w:val="6"/>
    <w:semiHidden/>
    <w:qFormat/>
    <w:uiPriority w:val="99"/>
    <w:rPr>
      <w:rFonts w:ascii="宋体" w:hAnsi="Calibri" w:eastAsia="宋体" w:cs="Times New Roman"/>
      <w:sz w:val="18"/>
      <w:szCs w:val="18"/>
    </w:rPr>
  </w:style>
  <w:style w:type="paragraph" w:customStyle="1" w:styleId="22">
    <w:name w:val="修订1"/>
    <w:hidden/>
    <w:semiHidden/>
    <w:qFormat/>
    <w:uiPriority w:val="99"/>
    <w:rPr>
      <w:rFonts w:ascii="Calibri" w:hAnsi="Calibri" w:eastAsia="宋体" w:cs="Times New Roman"/>
      <w:kern w:val="2"/>
      <w:sz w:val="21"/>
      <w:szCs w:val="22"/>
      <w:lang w:val="en-US" w:eastAsia="zh-CN" w:bidi="ar-SA"/>
    </w:rPr>
  </w:style>
  <w:style w:type="character" w:customStyle="1" w:styleId="23">
    <w:name w:val="正文文本 字符"/>
    <w:basedOn w:val="12"/>
    <w:link w:val="5"/>
    <w:qFormat/>
    <w:uiPriority w:val="1"/>
    <w:rPr>
      <w:rFonts w:ascii="仿宋_GB2312" w:hAnsi="仿宋_GB2312" w:eastAsia="仿宋_GB2312" w:cs="仿宋_GB2312"/>
      <w:sz w:val="32"/>
      <w:szCs w:val="32"/>
      <w:lang w:eastAsia="en-US"/>
    </w:rPr>
  </w:style>
  <w:style w:type="character" w:customStyle="1" w:styleId="24">
    <w:name w:val="标题 1 字符"/>
    <w:basedOn w:val="12"/>
    <w:link w:val="3"/>
    <w:qFormat/>
    <w:uiPriority w:val="9"/>
    <w:rPr>
      <w:rFonts w:ascii="楷体" w:hAnsi="楷体" w:eastAsia="楷体" w:cs="楷体"/>
      <w:b/>
      <w:bCs/>
      <w:sz w:val="32"/>
      <w:szCs w:val="32"/>
      <w:lang w:eastAsia="en-US"/>
    </w:rPr>
  </w:style>
  <w:style w:type="paragraph" w:customStyle="1" w:styleId="25">
    <w:name w:val="修订2"/>
    <w:hidden/>
    <w:unhideWhenUsed/>
    <w:qFormat/>
    <w:uiPriority w:val="99"/>
    <w:rPr>
      <w:rFonts w:ascii="Calibri" w:hAnsi="Calibri" w:eastAsia="宋体" w:cs="Times New Roman"/>
      <w:kern w:val="2"/>
      <w:sz w:val="21"/>
      <w:szCs w:val="22"/>
      <w:lang w:val="en-US" w:eastAsia="zh-CN" w:bidi="ar-SA"/>
    </w:rPr>
  </w:style>
  <w:style w:type="paragraph" w:customStyle="1" w:styleId="26">
    <w:name w:val="修订3"/>
    <w:hidden/>
    <w:unhideWhenUsed/>
    <w:qFormat/>
    <w:uiPriority w:val="99"/>
    <w:rPr>
      <w:rFonts w:ascii="Calibri" w:hAnsi="Calibri" w:eastAsia="宋体" w:cs="Times New Roman"/>
      <w:kern w:val="2"/>
      <w:sz w:val="21"/>
      <w:szCs w:val="22"/>
      <w:lang w:val="en-US" w:eastAsia="zh-CN" w:bidi="ar-SA"/>
    </w:rPr>
  </w:style>
  <w:style w:type="paragraph" w:customStyle="1" w:styleId="27">
    <w:name w:val="修订4"/>
    <w:hidden/>
    <w:unhideWhenUsed/>
    <w:qFormat/>
    <w:uiPriority w:val="99"/>
    <w:rPr>
      <w:rFonts w:ascii="Calibri" w:hAnsi="Calibri" w:eastAsia="宋体" w:cs="Times New Roman"/>
      <w:kern w:val="2"/>
      <w:sz w:val="21"/>
      <w:szCs w:val="22"/>
      <w:lang w:val="en-US" w:eastAsia="zh-CN" w:bidi="ar-SA"/>
    </w:rPr>
  </w:style>
  <w:style w:type="paragraph" w:styleId="28">
    <w:name w:val="List Paragraph"/>
    <w:basedOn w:val="1"/>
    <w:unhideWhenUsed/>
    <w:qFormat/>
    <w:uiPriority w:val="99"/>
    <w:pPr>
      <w:ind w:firstLine="420" w:firstLineChars="200"/>
    </w:pPr>
  </w:style>
  <w:style w:type="paragraph" w:customStyle="1" w:styleId="29">
    <w:name w:val="修订5"/>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783CB7-AFC0-456D-8F14-8DA96C0ED17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2930</Words>
  <Characters>2991</Characters>
  <Lines>24</Lines>
  <Paragraphs>6</Paragraphs>
  <TotalTime>69</TotalTime>
  <ScaleCrop>false</ScaleCrop>
  <LinksUpToDate>false</LinksUpToDate>
  <CharactersWithSpaces>3003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2025-02-21T13:15:00Z</dcterms:created>
  <dc:creator>任俊学</dc:creator>
  <cp:lastModifiedBy>Nelson</cp:lastModifiedBy>
  <cp:lastPrinted>2025-02-20T14:55:00Z</cp:lastPrinted>
  <dcterms:modified xsi:type="dcterms:W3CDTF">2026-09-22T08:33:39Z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F4E5A2585C6B45DAB03CBE1D322776AA_13</vt:lpwstr>
  </property>
  <property fmtid="{D5CDD505-2E9C-101B-9397-08002B2CF9AE}" pid="4" name="KSOTemplateDocerSaveRecord">
    <vt:lpwstr>eyJoZGlkIjoiZDRkNGY1YWIzMjQwYjRhMGNkZTRhMWFmNDQyMjJjMmEiLCJ1c2VySWQiOiIyNzEyODI2NjAifQ==</vt:lpwstr>
  </property>
</Properties>
</file>