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07E1BA">
      <w:pPr>
        <w:keepNext w:val="0"/>
        <w:keepLines w:val="0"/>
        <w:pageBreakBefore w:val="0"/>
        <w:widowControl w:val="0"/>
        <w:suppressAutoHyphens/>
        <w:kinsoku/>
        <w:wordWrap/>
        <w:overflowPunct/>
        <w:topLinePunct w:val="0"/>
        <w:autoSpaceDE/>
        <w:autoSpaceDN/>
        <w:bidi w:val="0"/>
        <w:adjustRightInd/>
        <w:snapToGrid/>
        <w:spacing w:line="480" w:lineRule="exact"/>
        <w:jc w:val="left"/>
        <w:textAlignment w:val="auto"/>
        <w:rPr>
          <w:rFonts w:hint="eastAsia" w:ascii="黑体" w:hAnsi="黑体" w:eastAsia="黑体" w:cs="黑体"/>
          <w:sz w:val="28"/>
          <w:szCs w:val="28"/>
          <w:lang w:val="en-US" w:eastAsia="zh-CN"/>
        </w:rPr>
      </w:pPr>
      <w:r>
        <w:rPr>
          <w:rFonts w:hint="eastAsia" w:ascii="黑体" w:hAnsi="黑体" w:eastAsia="黑体" w:cs="黑体"/>
          <w:sz w:val="28"/>
          <w:szCs w:val="28"/>
        </w:rPr>
        <w:t>附件</w:t>
      </w:r>
      <w:r>
        <w:rPr>
          <w:rFonts w:hint="eastAsia" w:ascii="黑体" w:hAnsi="黑体" w:eastAsia="黑体" w:cs="黑体"/>
          <w:sz w:val="28"/>
          <w:szCs w:val="28"/>
          <w:lang w:val="en-US" w:eastAsia="zh-CN"/>
        </w:rPr>
        <w:t>1</w:t>
      </w:r>
    </w:p>
    <w:p w14:paraId="07870C63">
      <w:pPr>
        <w:keepNext w:val="0"/>
        <w:keepLines w:val="0"/>
        <w:pageBreakBefore w:val="0"/>
        <w:widowControl w:val="0"/>
        <w:suppressAutoHyphens/>
        <w:kinsoku/>
        <w:wordWrap/>
        <w:overflowPunct/>
        <w:topLinePunct w:val="0"/>
        <w:autoSpaceDE/>
        <w:autoSpaceDN/>
        <w:bidi w:val="0"/>
        <w:adjustRightInd/>
        <w:snapToGrid/>
        <w:spacing w:line="480" w:lineRule="exact"/>
        <w:jc w:val="left"/>
        <w:textAlignment w:val="auto"/>
        <w:rPr>
          <w:rFonts w:hint="eastAsia" w:ascii="黑体" w:hAnsi="黑体" w:eastAsia="黑体" w:cs="黑体"/>
          <w:sz w:val="28"/>
          <w:szCs w:val="28"/>
          <w:lang w:val="en-US" w:eastAsia="zh-CN"/>
        </w:rPr>
      </w:pPr>
    </w:p>
    <w:tbl>
      <w:tblPr>
        <w:tblStyle w:val="5"/>
        <w:tblW w:w="9645" w:type="dxa"/>
        <w:jc w:val="center"/>
        <w:tblLayout w:type="fixed"/>
        <w:tblCellMar>
          <w:top w:w="0" w:type="dxa"/>
          <w:left w:w="108" w:type="dxa"/>
          <w:bottom w:w="0" w:type="dxa"/>
          <w:right w:w="108" w:type="dxa"/>
        </w:tblCellMar>
      </w:tblPr>
      <w:tblGrid>
        <w:gridCol w:w="1395"/>
        <w:gridCol w:w="8250"/>
      </w:tblGrid>
      <w:tr w14:paraId="714715C6">
        <w:tblPrEx>
          <w:tblCellMar>
            <w:top w:w="0" w:type="dxa"/>
            <w:left w:w="108" w:type="dxa"/>
            <w:bottom w:w="0" w:type="dxa"/>
            <w:right w:w="108" w:type="dxa"/>
          </w:tblCellMar>
        </w:tblPrEx>
        <w:trPr>
          <w:trHeight w:val="924" w:hRule="exact"/>
          <w:jc w:val="center"/>
        </w:trPr>
        <w:tc>
          <w:tcPr>
            <w:tcW w:w="1395" w:type="dxa"/>
            <w:vMerge w:val="restart"/>
            <w:tcBorders>
              <w:top w:val="single" w:color="000000" w:sz="4" w:space="0"/>
              <w:left w:val="single" w:color="000000" w:sz="4" w:space="0"/>
              <w:bottom w:val="single" w:color="000000" w:sz="4" w:space="0"/>
              <w:right w:val="single" w:color="000000" w:sz="4" w:space="0"/>
            </w:tcBorders>
            <w:noWrap/>
            <w:vAlign w:val="center"/>
          </w:tcPr>
          <w:p w14:paraId="7BC219AA">
            <w:pPr>
              <w:widowControl/>
              <w:suppressAutoHyphens/>
              <w:bidi w:val="0"/>
              <w:jc w:val="center"/>
              <w:textAlignment w:val="center"/>
              <w:rPr>
                <w:rFonts w:hint="eastAsia" w:ascii="黑体" w:hAnsi="黑体" w:eastAsia="黑体" w:cs="黑体"/>
                <w:b w:val="0"/>
                <w:bCs w:val="0"/>
                <w:color w:val="000000"/>
                <w:sz w:val="28"/>
                <w:szCs w:val="28"/>
              </w:rPr>
            </w:pPr>
            <w:r>
              <w:rPr>
                <w:rFonts w:hint="eastAsia" w:ascii="黑体" w:hAnsi="黑体" w:eastAsia="黑体" w:cs="黑体"/>
                <w:b w:val="0"/>
                <w:bCs w:val="0"/>
                <w:color w:val="000000"/>
                <w:kern w:val="0"/>
                <w:sz w:val="28"/>
                <w:szCs w:val="28"/>
              </w:rPr>
              <w:t>评分项目</w:t>
            </w:r>
          </w:p>
        </w:tc>
        <w:tc>
          <w:tcPr>
            <w:tcW w:w="8250" w:type="dxa"/>
            <w:vMerge w:val="restart"/>
            <w:tcBorders>
              <w:top w:val="single" w:color="000000" w:sz="4" w:space="0"/>
              <w:left w:val="single" w:color="000000" w:sz="4" w:space="0"/>
              <w:bottom w:val="single" w:color="000000" w:sz="4" w:space="0"/>
              <w:right w:val="single" w:color="000000" w:sz="4" w:space="0"/>
            </w:tcBorders>
            <w:noWrap w:val="0"/>
            <w:vAlign w:val="center"/>
          </w:tcPr>
          <w:p w14:paraId="406B2172">
            <w:pPr>
              <w:widowControl/>
              <w:suppressAutoHyphens/>
              <w:bidi w:val="0"/>
              <w:jc w:val="center"/>
              <w:textAlignment w:val="center"/>
              <w:rPr>
                <w:rFonts w:hint="eastAsia" w:ascii="黑体" w:hAnsi="黑体" w:eastAsia="黑体" w:cs="黑体"/>
                <w:b w:val="0"/>
                <w:bCs w:val="0"/>
                <w:color w:val="000000"/>
                <w:sz w:val="28"/>
                <w:szCs w:val="28"/>
              </w:rPr>
            </w:pPr>
            <w:r>
              <w:rPr>
                <w:rFonts w:hint="eastAsia" w:ascii="黑体" w:hAnsi="黑体" w:eastAsia="黑体" w:cs="黑体"/>
                <w:b w:val="0"/>
                <w:bCs w:val="0"/>
                <w:color w:val="000000"/>
                <w:kern w:val="0"/>
                <w:sz w:val="28"/>
                <w:szCs w:val="28"/>
              </w:rPr>
              <w:t>评审标准</w:t>
            </w:r>
          </w:p>
        </w:tc>
      </w:tr>
      <w:tr w14:paraId="73B36BCD">
        <w:tblPrEx>
          <w:tblCellMar>
            <w:top w:w="0" w:type="dxa"/>
            <w:left w:w="108" w:type="dxa"/>
            <w:bottom w:w="0" w:type="dxa"/>
            <w:right w:w="108" w:type="dxa"/>
          </w:tblCellMar>
        </w:tblPrEx>
        <w:trPr>
          <w:trHeight w:val="312" w:hRule="atLeast"/>
          <w:jc w:val="center"/>
        </w:trPr>
        <w:tc>
          <w:tcPr>
            <w:tcW w:w="1395" w:type="dxa"/>
            <w:vMerge w:val="continue"/>
            <w:tcBorders>
              <w:top w:val="single" w:color="000000" w:sz="4" w:space="0"/>
              <w:left w:val="single" w:color="000000" w:sz="4" w:space="0"/>
              <w:bottom w:val="single" w:color="000000" w:sz="4" w:space="0"/>
              <w:right w:val="single" w:color="000000" w:sz="4" w:space="0"/>
            </w:tcBorders>
            <w:noWrap/>
            <w:vAlign w:val="center"/>
          </w:tcPr>
          <w:p w14:paraId="5E490838">
            <w:pPr>
              <w:suppressAutoHyphens/>
              <w:bidi w:val="0"/>
              <w:jc w:val="center"/>
              <w:rPr>
                <w:rFonts w:ascii="宋体" w:hAnsi="宋体" w:eastAsia="宋体" w:cs="宋体"/>
                <w:b/>
                <w:bCs/>
                <w:color w:val="000000"/>
                <w:sz w:val="28"/>
                <w:szCs w:val="28"/>
              </w:rPr>
            </w:pPr>
          </w:p>
        </w:tc>
        <w:tc>
          <w:tcPr>
            <w:tcW w:w="8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399B3B">
            <w:pPr>
              <w:suppressAutoHyphens/>
              <w:bidi w:val="0"/>
              <w:jc w:val="center"/>
              <w:rPr>
                <w:rFonts w:ascii="宋体" w:hAnsi="宋体" w:eastAsia="宋体" w:cs="宋体"/>
                <w:b/>
                <w:bCs/>
                <w:color w:val="000000"/>
                <w:sz w:val="28"/>
                <w:szCs w:val="28"/>
              </w:rPr>
            </w:pPr>
          </w:p>
        </w:tc>
      </w:tr>
      <w:tr w14:paraId="44B48204">
        <w:tblPrEx>
          <w:tblCellMar>
            <w:top w:w="0" w:type="dxa"/>
            <w:left w:w="108" w:type="dxa"/>
            <w:bottom w:w="0" w:type="dxa"/>
            <w:right w:w="108" w:type="dxa"/>
          </w:tblCellMar>
        </w:tblPrEx>
        <w:trPr>
          <w:trHeight w:val="3353" w:hRule="atLeast"/>
          <w:jc w:val="center"/>
        </w:trPr>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72F3F8C">
            <w:pPr>
              <w:widowControl/>
              <w:suppressAutoHyphens/>
              <w:bidi w:val="0"/>
              <w:jc w:val="center"/>
              <w:textAlignment w:val="center"/>
              <w:rPr>
                <w:rFonts w:ascii="宋体" w:hAnsi="宋体" w:eastAsia="宋体" w:cs="宋体"/>
                <w:color w:val="000000"/>
                <w:sz w:val="28"/>
                <w:szCs w:val="28"/>
              </w:rPr>
            </w:pPr>
            <w:r>
              <w:rPr>
                <w:rFonts w:hint="eastAsia" w:ascii="宋体" w:hAnsi="宋体" w:cs="宋体"/>
                <w:color w:val="000000"/>
                <w:kern w:val="0"/>
                <w:sz w:val="24"/>
                <w:lang w:val="en-US" w:eastAsia="zh-CN"/>
              </w:rPr>
              <w:t>资产清查审计</w:t>
            </w:r>
            <w:r>
              <w:rPr>
                <w:rFonts w:hint="eastAsia" w:ascii="宋体" w:hAnsi="宋体" w:eastAsia="宋体" w:cs="宋体"/>
                <w:color w:val="000000"/>
                <w:kern w:val="0"/>
                <w:sz w:val="24"/>
              </w:rPr>
              <w:t>服务实施方案（30分）</w:t>
            </w:r>
          </w:p>
        </w:tc>
        <w:tc>
          <w:tcPr>
            <w:tcW w:w="8250" w:type="dxa"/>
            <w:tcBorders>
              <w:top w:val="single" w:color="000000" w:sz="4" w:space="0"/>
              <w:left w:val="single" w:color="000000" w:sz="4" w:space="0"/>
              <w:bottom w:val="single" w:color="000000" w:sz="4" w:space="0"/>
              <w:right w:val="single" w:color="000000" w:sz="4" w:space="0"/>
            </w:tcBorders>
            <w:noWrap w:val="0"/>
            <w:vAlign w:val="center"/>
          </w:tcPr>
          <w:p w14:paraId="2564DD09">
            <w:pPr>
              <w:widowControl/>
              <w:suppressAutoHyphens/>
              <w:bidi w:val="0"/>
              <w:jc w:val="left"/>
              <w:textAlignment w:val="center"/>
              <w:rPr>
                <w:rFonts w:ascii="宋体" w:hAnsi="宋体" w:eastAsia="宋体" w:cs="宋体"/>
                <w:color w:val="000000"/>
                <w:sz w:val="24"/>
              </w:rPr>
            </w:pPr>
            <w:r>
              <w:rPr>
                <w:rFonts w:hint="eastAsia" w:ascii="宋体" w:hAnsi="宋体" w:eastAsia="宋体" w:cs="宋体"/>
                <w:color w:val="000000"/>
                <w:kern w:val="0"/>
                <w:sz w:val="24"/>
              </w:rPr>
              <w:t>根据采购项目公告内采购内容及要求提供的整体运作流程和实施方案进行评审，对方案的全面性、可操作性、针对性、合理性、服务承诺及质量保证措施等要点进行评分：</w:t>
            </w:r>
            <w:r>
              <w:rPr>
                <w:rFonts w:hint="eastAsia" w:ascii="宋体" w:hAnsi="宋体" w:eastAsia="宋体" w:cs="宋体"/>
                <w:color w:val="000000"/>
                <w:kern w:val="0"/>
                <w:sz w:val="24"/>
              </w:rPr>
              <w:br w:type="textWrapping"/>
            </w:r>
            <w:r>
              <w:rPr>
                <w:rFonts w:hint="eastAsia" w:ascii="宋体" w:hAnsi="宋体" w:eastAsia="宋体" w:cs="宋体"/>
                <w:color w:val="000000"/>
                <w:kern w:val="0"/>
                <w:sz w:val="24"/>
              </w:rPr>
              <w:t xml:space="preserve"> ①项目整体实施方案完整全面、详细，针对性及可操作性强，得30分；</w:t>
            </w:r>
            <w:r>
              <w:rPr>
                <w:rFonts w:hint="eastAsia" w:ascii="宋体" w:hAnsi="宋体" w:eastAsia="宋体" w:cs="宋体"/>
                <w:color w:val="000000"/>
                <w:kern w:val="0"/>
                <w:sz w:val="24"/>
              </w:rPr>
              <w:br w:type="textWrapping"/>
            </w:r>
            <w:r>
              <w:rPr>
                <w:rFonts w:hint="eastAsia" w:ascii="宋体" w:hAnsi="宋体" w:eastAsia="宋体" w:cs="宋体"/>
                <w:color w:val="000000"/>
                <w:kern w:val="0"/>
                <w:sz w:val="24"/>
              </w:rPr>
              <w:t xml:space="preserve"> ②项目整体实施方案比较全面、详细，针对性及可操作性较强，得20分；</w:t>
            </w:r>
            <w:r>
              <w:rPr>
                <w:rFonts w:hint="eastAsia" w:ascii="宋体" w:hAnsi="宋体" w:eastAsia="宋体" w:cs="宋体"/>
                <w:color w:val="000000"/>
                <w:kern w:val="0"/>
                <w:sz w:val="24"/>
              </w:rPr>
              <w:br w:type="textWrapping"/>
            </w:r>
            <w:r>
              <w:rPr>
                <w:rFonts w:hint="eastAsia" w:ascii="宋体" w:hAnsi="宋体" w:eastAsia="宋体" w:cs="宋体"/>
                <w:color w:val="000000"/>
                <w:kern w:val="0"/>
                <w:sz w:val="24"/>
              </w:rPr>
              <w:t xml:space="preserve"> ③项目整体实施方案一般，细节待完善，针对性和可操作性一般，各环节考虑基本全面，得10分； </w:t>
            </w:r>
            <w:r>
              <w:rPr>
                <w:rFonts w:hint="eastAsia" w:ascii="宋体" w:hAnsi="宋体" w:eastAsia="宋体" w:cs="宋体"/>
                <w:color w:val="000000"/>
                <w:kern w:val="0"/>
                <w:sz w:val="24"/>
              </w:rPr>
              <w:br w:type="textWrapping"/>
            </w:r>
            <w:r>
              <w:rPr>
                <w:rFonts w:hint="eastAsia" w:ascii="宋体" w:hAnsi="宋体" w:eastAsia="宋体" w:cs="宋体"/>
                <w:color w:val="000000"/>
                <w:kern w:val="0"/>
                <w:sz w:val="24"/>
              </w:rPr>
              <w:t xml:space="preserve"> ④项目整体实施方案简单、针对性和可操作性差，各环节考虑简单，得5分；</w:t>
            </w:r>
            <w:r>
              <w:rPr>
                <w:rFonts w:hint="eastAsia" w:ascii="宋体" w:hAnsi="宋体" w:eastAsia="宋体" w:cs="宋体"/>
                <w:color w:val="000000"/>
                <w:kern w:val="0"/>
                <w:sz w:val="24"/>
              </w:rPr>
              <w:br w:type="textWrapping"/>
            </w:r>
            <w:r>
              <w:rPr>
                <w:rFonts w:hint="eastAsia" w:ascii="宋体" w:hAnsi="宋体" w:eastAsia="宋体" w:cs="宋体"/>
                <w:color w:val="000000"/>
                <w:kern w:val="0"/>
                <w:sz w:val="24"/>
              </w:rPr>
              <w:t xml:space="preserve"> ⑤未提供相应项目整体实施方案不得分。</w:t>
            </w:r>
          </w:p>
        </w:tc>
      </w:tr>
      <w:tr w14:paraId="08931003">
        <w:tblPrEx>
          <w:tblCellMar>
            <w:top w:w="0" w:type="dxa"/>
            <w:left w:w="108" w:type="dxa"/>
            <w:bottom w:w="0" w:type="dxa"/>
            <w:right w:w="108" w:type="dxa"/>
          </w:tblCellMar>
        </w:tblPrEx>
        <w:trPr>
          <w:trHeight w:val="1570" w:hRule="atLeast"/>
          <w:jc w:val="center"/>
        </w:trPr>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E1E35D9">
            <w:pPr>
              <w:widowControl/>
              <w:suppressAutoHyphens/>
              <w:bidi w:val="0"/>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同类项目业绩证明材料</w:t>
            </w:r>
          </w:p>
          <w:p w14:paraId="093BDF07">
            <w:pPr>
              <w:widowControl/>
              <w:suppressAutoHyphens/>
              <w:bidi w:val="0"/>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4"/>
              </w:rPr>
              <w:t>（</w:t>
            </w:r>
            <w:r>
              <w:rPr>
                <w:rFonts w:hint="eastAsia" w:ascii="宋体" w:hAnsi="宋体" w:cs="宋体"/>
                <w:color w:val="000000"/>
                <w:kern w:val="0"/>
                <w:sz w:val="24"/>
                <w:lang w:val="en-US" w:eastAsia="zh-CN"/>
              </w:rPr>
              <w:t>3</w:t>
            </w:r>
            <w:r>
              <w:rPr>
                <w:rFonts w:hint="eastAsia" w:ascii="宋体" w:hAnsi="宋体" w:eastAsia="宋体" w:cs="宋体"/>
                <w:color w:val="000000"/>
                <w:kern w:val="0"/>
                <w:sz w:val="24"/>
              </w:rPr>
              <w:t>0分）</w:t>
            </w:r>
          </w:p>
        </w:tc>
        <w:tc>
          <w:tcPr>
            <w:tcW w:w="8250" w:type="dxa"/>
            <w:tcBorders>
              <w:top w:val="single" w:color="000000" w:sz="4" w:space="0"/>
              <w:left w:val="single" w:color="000000" w:sz="4" w:space="0"/>
              <w:bottom w:val="single" w:color="000000" w:sz="4" w:space="0"/>
              <w:right w:val="single" w:color="000000" w:sz="4" w:space="0"/>
            </w:tcBorders>
            <w:noWrap w:val="0"/>
            <w:vAlign w:val="center"/>
          </w:tcPr>
          <w:p w14:paraId="5423FD5D">
            <w:pPr>
              <w:widowControl/>
              <w:suppressAutoHyphens/>
              <w:bidi w:val="0"/>
              <w:jc w:val="left"/>
              <w:textAlignment w:val="center"/>
              <w:rPr>
                <w:rFonts w:ascii="宋体" w:hAnsi="宋体" w:eastAsia="宋体" w:cs="宋体"/>
                <w:color w:val="000000"/>
                <w:sz w:val="24"/>
              </w:rPr>
            </w:pPr>
            <w:r>
              <w:rPr>
                <w:rFonts w:hint="eastAsia" w:ascii="宋体" w:hAnsi="宋体" w:eastAsia="宋体" w:cs="宋体"/>
                <w:color w:val="000000"/>
                <w:kern w:val="0"/>
                <w:sz w:val="24"/>
              </w:rPr>
              <w:t>投标人承担过同类项目的，每项得</w:t>
            </w:r>
            <w:r>
              <w:rPr>
                <w:rFonts w:hint="eastAsia" w:ascii="宋体" w:hAnsi="宋体" w:cs="宋体"/>
                <w:color w:val="000000"/>
                <w:kern w:val="0"/>
                <w:sz w:val="24"/>
                <w:lang w:val="en-US" w:eastAsia="zh-CN"/>
              </w:rPr>
              <w:t>10</w:t>
            </w:r>
            <w:r>
              <w:rPr>
                <w:rFonts w:hint="eastAsia" w:ascii="宋体" w:hAnsi="宋体" w:eastAsia="宋体" w:cs="宋体"/>
                <w:color w:val="000000"/>
                <w:kern w:val="0"/>
                <w:sz w:val="24"/>
              </w:rPr>
              <w:t>分，本项最高得</w:t>
            </w:r>
            <w:r>
              <w:rPr>
                <w:rFonts w:hint="eastAsia" w:ascii="宋体" w:hAnsi="宋体" w:cs="宋体"/>
                <w:color w:val="000000"/>
                <w:kern w:val="0"/>
                <w:sz w:val="24"/>
                <w:lang w:val="en-US" w:eastAsia="zh-CN"/>
              </w:rPr>
              <w:t>3</w:t>
            </w:r>
            <w:r>
              <w:rPr>
                <w:rFonts w:hint="eastAsia" w:ascii="宋体" w:hAnsi="宋体" w:eastAsia="宋体" w:cs="宋体"/>
                <w:color w:val="000000"/>
                <w:kern w:val="0"/>
                <w:sz w:val="24"/>
              </w:rPr>
              <w:t>0分，需提供项目合同关键页复印件，包括但不限于项目名称、合同金额、项目内容、双方盖章、签订日期等</w:t>
            </w:r>
          </w:p>
        </w:tc>
      </w:tr>
      <w:tr w14:paraId="31AD6418">
        <w:tblPrEx>
          <w:tblCellMar>
            <w:top w:w="0" w:type="dxa"/>
            <w:left w:w="108" w:type="dxa"/>
            <w:bottom w:w="0" w:type="dxa"/>
            <w:right w:w="108" w:type="dxa"/>
          </w:tblCellMar>
        </w:tblPrEx>
        <w:trPr>
          <w:trHeight w:val="1633" w:hRule="atLeast"/>
          <w:jc w:val="center"/>
        </w:trPr>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A4BD36A">
            <w:pPr>
              <w:widowControl/>
              <w:suppressAutoHyphens/>
              <w:bidi w:val="0"/>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4"/>
              </w:rPr>
              <w:t>投标价格（</w:t>
            </w:r>
            <w:r>
              <w:rPr>
                <w:rFonts w:hint="eastAsia" w:ascii="宋体" w:hAnsi="宋体" w:cs="宋体"/>
                <w:color w:val="000000"/>
                <w:kern w:val="0"/>
                <w:sz w:val="24"/>
                <w:lang w:val="en-US" w:eastAsia="zh-CN"/>
              </w:rPr>
              <w:t>30</w:t>
            </w:r>
            <w:r>
              <w:rPr>
                <w:rFonts w:hint="eastAsia" w:ascii="宋体" w:hAnsi="宋体" w:eastAsia="宋体" w:cs="宋体"/>
                <w:color w:val="000000"/>
                <w:kern w:val="0"/>
                <w:sz w:val="24"/>
              </w:rPr>
              <w:t>分）</w:t>
            </w:r>
          </w:p>
        </w:tc>
        <w:tc>
          <w:tcPr>
            <w:tcW w:w="8250" w:type="dxa"/>
            <w:tcBorders>
              <w:top w:val="single" w:color="000000" w:sz="4" w:space="0"/>
              <w:left w:val="single" w:color="000000" w:sz="4" w:space="0"/>
              <w:bottom w:val="single" w:color="000000" w:sz="4" w:space="0"/>
              <w:right w:val="single" w:color="000000" w:sz="4" w:space="0"/>
            </w:tcBorders>
            <w:noWrap w:val="0"/>
            <w:vAlign w:val="center"/>
          </w:tcPr>
          <w:p w14:paraId="0CC1F00F">
            <w:pPr>
              <w:widowControl/>
              <w:suppressAutoHyphens/>
              <w:bidi w:val="0"/>
              <w:jc w:val="left"/>
              <w:textAlignment w:val="center"/>
              <w:rPr>
                <w:rFonts w:ascii="宋体" w:hAnsi="宋体" w:eastAsia="宋体" w:cs="宋体"/>
                <w:color w:val="000000"/>
                <w:sz w:val="24"/>
              </w:rPr>
            </w:pPr>
            <w:r>
              <w:rPr>
                <w:rFonts w:hint="eastAsia" w:ascii="宋体" w:hAnsi="宋体" w:eastAsia="宋体" w:cs="宋体"/>
                <w:color w:val="000000"/>
                <w:kern w:val="0"/>
                <w:sz w:val="24"/>
              </w:rPr>
              <w:t>投标报价得分＝（评标基准价/投标报价）×价格分值   【注：满足招标文件要求且投标价格最低的投标报价为评标基准价。】</w:t>
            </w:r>
            <w:r>
              <w:rPr>
                <w:rFonts w:hint="eastAsia" w:ascii="宋体" w:hAnsi="宋体" w:eastAsia="宋体" w:cs="宋体"/>
                <w:color w:val="000000"/>
                <w:kern w:val="0"/>
                <w:sz w:val="24"/>
              </w:rPr>
              <w:br w:type="textWrapping"/>
            </w:r>
            <w:r>
              <w:rPr>
                <w:rFonts w:hint="eastAsia" w:ascii="宋体" w:hAnsi="宋体" w:eastAsia="宋体" w:cs="宋体"/>
                <w:color w:val="000000"/>
                <w:kern w:val="0"/>
                <w:sz w:val="24"/>
              </w:rPr>
              <w:t>最低报价不是中标的唯一依据。因落实政府采购政策进行价格调整的，以调整后的价格计算评标基准价和投标报价。</w:t>
            </w:r>
          </w:p>
        </w:tc>
      </w:tr>
      <w:tr w14:paraId="67ED6022">
        <w:tblPrEx>
          <w:tblCellMar>
            <w:top w:w="0" w:type="dxa"/>
            <w:left w:w="108" w:type="dxa"/>
            <w:bottom w:w="0" w:type="dxa"/>
            <w:right w:w="108" w:type="dxa"/>
          </w:tblCellMar>
        </w:tblPrEx>
        <w:trPr>
          <w:trHeight w:val="2839" w:hRule="atLeast"/>
          <w:jc w:val="center"/>
        </w:trPr>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AFE47A6">
            <w:pPr>
              <w:widowControl/>
              <w:suppressAutoHyphens/>
              <w:bidi w:val="0"/>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4"/>
              </w:rPr>
              <w:t>保密方案（</w:t>
            </w:r>
            <w:r>
              <w:rPr>
                <w:rFonts w:hint="eastAsia" w:ascii="宋体" w:hAnsi="宋体" w:cs="宋体"/>
                <w:color w:val="000000"/>
                <w:kern w:val="0"/>
                <w:sz w:val="24"/>
                <w:lang w:val="en-US" w:eastAsia="zh-CN"/>
              </w:rPr>
              <w:t>1</w:t>
            </w:r>
            <w:r>
              <w:rPr>
                <w:rFonts w:hint="eastAsia" w:ascii="宋体" w:hAnsi="宋体" w:eastAsia="宋体" w:cs="宋体"/>
                <w:color w:val="000000"/>
                <w:kern w:val="0"/>
                <w:sz w:val="24"/>
              </w:rPr>
              <w:t>0分）</w:t>
            </w:r>
          </w:p>
        </w:tc>
        <w:tc>
          <w:tcPr>
            <w:tcW w:w="8250" w:type="dxa"/>
            <w:tcBorders>
              <w:top w:val="single" w:color="000000" w:sz="4" w:space="0"/>
              <w:left w:val="single" w:color="000000" w:sz="4" w:space="0"/>
              <w:bottom w:val="single" w:color="000000" w:sz="4" w:space="0"/>
              <w:right w:val="single" w:color="000000" w:sz="4" w:space="0"/>
            </w:tcBorders>
            <w:noWrap w:val="0"/>
            <w:vAlign w:val="center"/>
          </w:tcPr>
          <w:p w14:paraId="017E2B3A">
            <w:pPr>
              <w:widowControl/>
              <w:suppressAutoHyphens/>
              <w:bidi w:val="0"/>
              <w:jc w:val="left"/>
              <w:textAlignment w:val="center"/>
              <w:rPr>
                <w:rFonts w:ascii="宋体" w:hAnsi="宋体" w:eastAsia="宋体" w:cs="宋体"/>
                <w:color w:val="000000"/>
                <w:sz w:val="24"/>
              </w:rPr>
            </w:pPr>
            <w:r>
              <w:rPr>
                <w:rFonts w:hint="eastAsia" w:ascii="宋体" w:hAnsi="宋体" w:eastAsia="宋体" w:cs="宋体"/>
                <w:color w:val="000000"/>
                <w:kern w:val="0"/>
                <w:sz w:val="24"/>
              </w:rPr>
              <w:t>根据供应商提供的保密方案（包括但不限于管理措施、保密管理制度等）进行综合评审：</w:t>
            </w:r>
            <w:r>
              <w:rPr>
                <w:rFonts w:hint="eastAsia" w:ascii="宋体" w:hAnsi="宋体" w:eastAsia="宋体" w:cs="宋体"/>
                <w:color w:val="000000"/>
                <w:kern w:val="0"/>
                <w:sz w:val="24"/>
              </w:rPr>
              <w:br w:type="textWrapping"/>
            </w:r>
            <w:r>
              <w:rPr>
                <w:rFonts w:hint="eastAsia" w:ascii="宋体" w:hAnsi="宋体" w:eastAsia="宋体" w:cs="宋体"/>
                <w:color w:val="000000"/>
                <w:kern w:val="0"/>
                <w:sz w:val="24"/>
              </w:rPr>
              <w:t xml:space="preserve"> ①管理措施和保密管理制度详细完善、严谨科学，可行性高的得</w:t>
            </w:r>
            <w:r>
              <w:rPr>
                <w:rFonts w:hint="eastAsia" w:ascii="宋体" w:hAnsi="宋体" w:cs="宋体"/>
                <w:color w:val="000000"/>
                <w:kern w:val="0"/>
                <w:sz w:val="24"/>
                <w:lang w:val="en-US" w:eastAsia="zh-CN"/>
              </w:rPr>
              <w:t>10</w:t>
            </w:r>
            <w:r>
              <w:rPr>
                <w:rFonts w:hint="eastAsia" w:ascii="宋体" w:hAnsi="宋体" w:eastAsia="宋体" w:cs="宋体"/>
                <w:color w:val="000000"/>
                <w:kern w:val="0"/>
                <w:sz w:val="24"/>
              </w:rPr>
              <w:t xml:space="preserve">分； </w:t>
            </w:r>
            <w:r>
              <w:rPr>
                <w:rFonts w:hint="eastAsia" w:ascii="宋体" w:hAnsi="宋体" w:eastAsia="宋体" w:cs="宋体"/>
                <w:color w:val="000000"/>
                <w:kern w:val="0"/>
                <w:sz w:val="24"/>
              </w:rPr>
              <w:br w:type="textWrapping"/>
            </w:r>
            <w:r>
              <w:rPr>
                <w:rFonts w:hint="eastAsia" w:ascii="宋体" w:hAnsi="宋体" w:eastAsia="宋体" w:cs="宋体"/>
                <w:color w:val="000000"/>
                <w:kern w:val="0"/>
                <w:sz w:val="24"/>
              </w:rPr>
              <w:t xml:space="preserve"> ②管理措施和保密管理制度较详细完善，可行性较强的得</w:t>
            </w:r>
            <w:r>
              <w:rPr>
                <w:rFonts w:hint="eastAsia" w:ascii="宋体" w:hAnsi="宋体" w:cs="宋体"/>
                <w:color w:val="000000"/>
                <w:kern w:val="0"/>
                <w:sz w:val="24"/>
                <w:lang w:val="en-US" w:eastAsia="zh-CN"/>
              </w:rPr>
              <w:t>8</w:t>
            </w:r>
            <w:r>
              <w:rPr>
                <w:rFonts w:hint="eastAsia" w:ascii="宋体" w:hAnsi="宋体" w:eastAsia="宋体" w:cs="宋体"/>
                <w:color w:val="000000"/>
                <w:kern w:val="0"/>
                <w:sz w:val="24"/>
              </w:rPr>
              <w:t xml:space="preserve">分； </w:t>
            </w:r>
            <w:r>
              <w:rPr>
                <w:rFonts w:hint="eastAsia" w:ascii="宋体" w:hAnsi="宋体" w:eastAsia="宋体" w:cs="宋体"/>
                <w:color w:val="000000"/>
                <w:kern w:val="0"/>
                <w:sz w:val="24"/>
              </w:rPr>
              <w:br w:type="textWrapping"/>
            </w:r>
            <w:r>
              <w:rPr>
                <w:rFonts w:hint="eastAsia" w:ascii="宋体" w:hAnsi="宋体" w:eastAsia="宋体" w:cs="宋体"/>
                <w:color w:val="000000"/>
                <w:kern w:val="0"/>
                <w:sz w:val="24"/>
              </w:rPr>
              <w:t xml:space="preserve"> ③管理措施和保密管理制度详细完善度一般，可行性一般的得</w:t>
            </w:r>
            <w:r>
              <w:rPr>
                <w:rFonts w:hint="eastAsia" w:ascii="宋体" w:hAnsi="宋体" w:cs="宋体"/>
                <w:color w:val="000000"/>
                <w:kern w:val="0"/>
                <w:sz w:val="24"/>
                <w:lang w:val="en-US" w:eastAsia="zh-CN"/>
              </w:rPr>
              <w:t>6</w:t>
            </w:r>
            <w:r>
              <w:rPr>
                <w:rFonts w:hint="eastAsia" w:ascii="宋体" w:hAnsi="宋体" w:eastAsia="宋体" w:cs="宋体"/>
                <w:color w:val="000000"/>
                <w:kern w:val="0"/>
                <w:sz w:val="24"/>
              </w:rPr>
              <w:t xml:space="preserve">分； </w:t>
            </w:r>
            <w:r>
              <w:rPr>
                <w:rFonts w:hint="eastAsia" w:ascii="宋体" w:hAnsi="宋体" w:eastAsia="宋体" w:cs="宋体"/>
                <w:color w:val="000000"/>
                <w:kern w:val="0"/>
                <w:sz w:val="24"/>
              </w:rPr>
              <w:br w:type="textWrapping"/>
            </w:r>
            <w:r>
              <w:rPr>
                <w:rFonts w:hint="eastAsia" w:ascii="宋体" w:hAnsi="宋体" w:eastAsia="宋体" w:cs="宋体"/>
                <w:color w:val="000000"/>
                <w:kern w:val="0"/>
                <w:sz w:val="24"/>
              </w:rPr>
              <w:t xml:space="preserve"> ④管理措施和保密管理制度粗略，合理性差的得</w:t>
            </w:r>
            <w:r>
              <w:rPr>
                <w:rFonts w:hint="eastAsia" w:ascii="宋体" w:hAnsi="宋体" w:cs="宋体"/>
                <w:color w:val="000000"/>
                <w:kern w:val="0"/>
                <w:sz w:val="24"/>
                <w:lang w:val="en-US" w:eastAsia="zh-CN"/>
              </w:rPr>
              <w:t>4</w:t>
            </w:r>
            <w:bookmarkStart w:id="0" w:name="_GoBack"/>
            <w:bookmarkEnd w:id="0"/>
            <w:r>
              <w:rPr>
                <w:rFonts w:hint="eastAsia" w:ascii="宋体" w:hAnsi="宋体" w:eastAsia="宋体" w:cs="宋体"/>
                <w:color w:val="000000"/>
                <w:kern w:val="0"/>
                <w:sz w:val="24"/>
              </w:rPr>
              <w:t xml:space="preserve">分； </w:t>
            </w:r>
            <w:r>
              <w:rPr>
                <w:rFonts w:hint="eastAsia" w:ascii="宋体" w:hAnsi="宋体" w:eastAsia="宋体" w:cs="宋体"/>
                <w:color w:val="000000"/>
                <w:kern w:val="0"/>
                <w:sz w:val="24"/>
              </w:rPr>
              <w:br w:type="textWrapping"/>
            </w:r>
            <w:r>
              <w:rPr>
                <w:rFonts w:hint="eastAsia" w:ascii="宋体" w:hAnsi="宋体" w:eastAsia="宋体" w:cs="宋体"/>
                <w:color w:val="000000"/>
                <w:kern w:val="0"/>
                <w:sz w:val="24"/>
              </w:rPr>
              <w:t xml:space="preserve"> ⑤未提供对应方案不得分。</w:t>
            </w:r>
          </w:p>
        </w:tc>
      </w:tr>
    </w:tbl>
    <w:p w14:paraId="6F97E1A6"/>
    <w:sectPr>
      <w:pgSz w:w="11906" w:h="16838"/>
      <w:pgMar w:top="1440" w:right="1800" w:bottom="1440" w:left="1800"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iberation Sans">
    <w:altName w:val="Noto Sans SC"/>
    <w:panose1 w:val="00000000000000000000"/>
    <w:charset w:val="00"/>
    <w:family w:val="swiss"/>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Noto Sans CJK SC Regular">
    <w:altName w:val="宋体"/>
    <w:panose1 w:val="020B0500000000000000"/>
    <w:charset w:val="86"/>
    <w:family w:val="auto"/>
    <w:pitch w:val="default"/>
    <w:sig w:usb0="00000000" w:usb1="00000000" w:usb2="00000016" w:usb3="00000000" w:csb0="602E0107" w:csb1="00000000"/>
  </w:font>
  <w:font w:name="Segoe UI">
    <w:panose1 w:val="020B0502040204020203"/>
    <w:charset w:val="00"/>
    <w:family w:val="auto"/>
    <w:pitch w:val="default"/>
    <w:sig w:usb0="E4002EFF" w:usb1="C000E47F" w:usb2="00000009" w:usb3="00000000" w:csb0="200001FF" w:csb1="00000000"/>
  </w:font>
  <w:font w:name="方正小标宋简体">
    <w:panose1 w:val="02000000000000000000"/>
    <w:charset w:val="86"/>
    <w:family w:val="script"/>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
  <w:drawingGridVerticalSpacing w:val="1"/>
  <w:displayHorizontalDrawingGridEvery w:val="0"/>
  <w:displayVerticalDrawingGridEvery w:val="0"/>
  <w:doNotUseMarginsForDrawingGridOrigin w:val="1"/>
  <w:drawingGridHorizontalOrigin w:val="0"/>
  <w:drawingGridVerticalOrigin w:val="0"/>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5B6188"/>
    <w:rsid w:val="26306EAD"/>
    <w:rsid w:val="4CB55159"/>
    <w:rsid w:val="550648AC"/>
    <w:rsid w:val="5FEFBA9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character" w:default="1" w:styleId="6">
    <w:name w:val="Default Paragraph Fon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caption"/>
    <w:basedOn w:val="1"/>
    <w:uiPriority w:val="0"/>
    <w:pPr>
      <w:widowControl w:val="0"/>
      <w:suppressLineNumbers/>
      <w:suppressAutoHyphens/>
      <w:spacing w:before="120" w:after="120"/>
    </w:pPr>
    <w:rPr>
      <w:i/>
      <w:iCs/>
      <w:sz w:val="24"/>
      <w:szCs w:val="24"/>
    </w:rPr>
  </w:style>
  <w:style w:type="paragraph" w:styleId="3">
    <w:name w:val="Body Text"/>
    <w:basedOn w:val="1"/>
    <w:qFormat/>
    <w:uiPriority w:val="0"/>
    <w:pPr>
      <w:spacing w:before="0" w:after="140" w:line="276" w:lineRule="auto"/>
    </w:pPr>
  </w:style>
  <w:style w:type="paragraph" w:styleId="4">
    <w:name w:val="List"/>
    <w:basedOn w:val="3"/>
    <w:qFormat/>
    <w:uiPriority w:val="0"/>
  </w:style>
  <w:style w:type="character" w:customStyle="1" w:styleId="7">
    <w:name w:val="默认段落字体1"/>
    <w:qFormat/>
    <w:uiPriority w:val="0"/>
  </w:style>
  <w:style w:type="paragraph" w:customStyle="1" w:styleId="8">
    <w:name w:val="Heading"/>
    <w:basedOn w:val="1"/>
    <w:next w:val="3"/>
    <w:uiPriority w:val="0"/>
    <w:pPr>
      <w:keepNext/>
      <w:widowControl w:val="0"/>
      <w:suppressAutoHyphens/>
      <w:spacing w:before="240" w:after="120"/>
    </w:pPr>
    <w:rPr>
      <w:rFonts w:ascii="Liberation Sans" w:hAnsi="Liberation Sans" w:eastAsia="Noto Sans CJK SC Regular" w:cs="Noto Sans CJK SC Regular"/>
      <w:sz w:val="28"/>
      <w:szCs w:val="28"/>
      <w:lang w:bidi="ar-SA"/>
    </w:rPr>
  </w:style>
  <w:style w:type="paragraph" w:customStyle="1" w:styleId="9">
    <w:name w:val="Index"/>
    <w:basedOn w:val="1"/>
    <w:qFormat/>
    <w:uiPriority w:val="0"/>
    <w:pPr>
      <w:widowControl w:val="0"/>
      <w:suppressLineNumbers/>
      <w:suppressAutoHyphens/>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722</Words>
  <Characters>737</Characters>
  <TotalTime>4</TotalTime>
  <ScaleCrop>false</ScaleCrop>
  <LinksUpToDate>false</LinksUpToDate>
  <CharactersWithSpaces>760</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2018-11-27T01:47:00Z</dcterms:created>
  <dc:creator>uos</dc:creator>
  <cp:lastModifiedBy>权</cp:lastModifiedBy>
  <dcterms:modified xsi:type="dcterms:W3CDTF">2026-10-10T01:42:22Z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B96BEAFD42834001B69684FAF1F52772_13</vt:lpwstr>
  </property>
  <property fmtid="{D5CDD505-2E9C-101B-9397-08002B2CF9AE}" pid="4" name="KSOTemplateDocerSaveRecord">
    <vt:lpwstr>eyJoZGlkIjoiY2FkOTdmNDc2YWEwNWFlYmZlNGMwYjBmYjBlZDdhYjEiLCJ1c2VySWQiOiIxMjgxNjM4MjQ0In0=</vt:lpwstr>
  </property>
</Properties>
</file>