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spacing w:line="560" w:lineRule="exact"/>
        <w:ind w:right="317"/>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开平市再生资源回收行业建设规范</w:t>
      </w:r>
      <w:r>
        <w:rPr>
          <w:rFonts w:hint="eastAsia" w:ascii="方正小标宋_GBK" w:hAnsi="方正小标宋_GBK" w:eastAsia="方正小标宋_GBK" w:cs="方正小标宋_GBK"/>
          <w:sz w:val="44"/>
          <w:szCs w:val="44"/>
          <w:highlight w:val="none"/>
        </w:rPr>
        <w:br w:type="textWrapping"/>
      </w:r>
      <w:r>
        <w:rPr>
          <w:rFonts w:hint="eastAsia" w:ascii="方正小标宋_GBK" w:hAnsi="方正小标宋_GBK" w:eastAsia="方正小标宋_GBK" w:cs="方正小标宋_GBK"/>
          <w:sz w:val="44"/>
          <w:szCs w:val="44"/>
          <w:highlight w:val="none"/>
        </w:rPr>
        <w:t>和布点规划方案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lang w:eastAsia="zh-CN"/>
        </w:rPr>
        <w:t>（</w:t>
      </w:r>
      <w:r>
        <w:rPr>
          <w:rFonts w:hint="eastAsia" w:ascii="楷体" w:hAnsi="楷体" w:eastAsia="楷体" w:cs="楷体"/>
          <w:color w:val="auto"/>
          <w:sz w:val="32"/>
          <w:szCs w:val="32"/>
          <w:highlight w:val="none"/>
          <w:lang w:val="en-US" w:eastAsia="zh-CN"/>
        </w:rPr>
        <w:t>征求意见稿</w:t>
      </w:r>
      <w:r>
        <w:rPr>
          <w:rFonts w:hint="eastAsia" w:ascii="楷体" w:hAnsi="楷体" w:eastAsia="楷体" w:cs="楷体"/>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楷体" w:hAnsi="楷体" w:eastAsia="楷体" w:cs="楷体"/>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rPr>
        <w:t>根据</w:t>
      </w:r>
      <w:r>
        <w:rPr>
          <w:rFonts w:hint="eastAsia" w:ascii="仿宋_GB2312" w:hAnsi="仿宋_GB2312" w:eastAsia="仿宋_GB2312" w:cs="仿宋_GB2312"/>
          <w:color w:val="auto"/>
          <w:kern w:val="2"/>
          <w:sz w:val="32"/>
          <w:szCs w:val="32"/>
          <w:highlight w:val="none"/>
          <w:lang w:eastAsia="zh-CN"/>
        </w:rPr>
        <w:t>《江门市再生资源回收行业长效治理和规范发展行动方案》（江商务贸管〔2025〕83号）、《再生资源回收站点建设管理规范》（SB/T 10719—2026）、《再生资源回收利用体系回收站点建设规范》（GB/T 45732—2025）</w:t>
      </w:r>
      <w:r>
        <w:rPr>
          <w:rFonts w:hint="eastAsia" w:cs="仿宋_GB2312"/>
          <w:color w:val="auto"/>
          <w:kern w:val="2"/>
          <w:sz w:val="32"/>
          <w:szCs w:val="32"/>
          <w:highlight w:val="none"/>
          <w:lang w:eastAsia="zh-CN"/>
        </w:rPr>
        <w:t>的</w:t>
      </w:r>
      <w:r>
        <w:rPr>
          <w:rFonts w:hint="eastAsia" w:cs="仿宋_GB2312"/>
          <w:color w:val="auto"/>
          <w:kern w:val="2"/>
          <w:sz w:val="32"/>
          <w:szCs w:val="32"/>
          <w:highlight w:val="none"/>
          <w:lang w:val="en-US" w:eastAsia="zh-CN"/>
        </w:rPr>
        <w:t>要求</w:t>
      </w:r>
      <w:r>
        <w:rPr>
          <w:rFonts w:hint="eastAsia" w:cs="仿宋_GB2312"/>
          <w:color w:val="auto"/>
          <w:kern w:val="2"/>
          <w:sz w:val="32"/>
          <w:szCs w:val="32"/>
          <w:highlight w:val="none"/>
          <w:lang w:eastAsia="zh-CN"/>
        </w:rPr>
        <w:t>，立足</w:t>
      </w:r>
      <w:r>
        <w:rPr>
          <w:rFonts w:hint="eastAsia" w:ascii="仿宋_GB2312" w:hAnsi="仿宋_GB2312" w:eastAsia="仿宋_GB2312" w:cs="仿宋_GB2312"/>
          <w:color w:val="auto"/>
          <w:kern w:val="2"/>
          <w:sz w:val="32"/>
          <w:szCs w:val="32"/>
          <w:highlight w:val="none"/>
          <w:lang w:eastAsia="zh-CN"/>
        </w:rPr>
        <w:t>开平市城乡人口分布、国土空间规划和人居环境整治实际，科学构建村（居）交投点、镇（街）中转站、市级分拣中心三级再生资源回收网络，规范回收站点布局与建设标准，消除环境与安全隐患，助力“无废城市”建设，特制定本方案。</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color w:val="auto"/>
          <w:kern w:val="2"/>
          <w:sz w:val="32"/>
          <w:szCs w:val="32"/>
          <w:highlight w:val="none"/>
          <w:lang w:eastAsia="zh-CN"/>
        </w:rPr>
      </w:pPr>
      <w:r>
        <w:rPr>
          <w:rFonts w:hint="eastAsia" w:ascii="黑体" w:hAnsi="黑体" w:eastAsia="黑体" w:cs="黑体"/>
          <w:color w:val="auto"/>
          <w:kern w:val="2"/>
          <w:sz w:val="32"/>
          <w:szCs w:val="32"/>
          <w:highlight w:val="none"/>
          <w:lang w:eastAsia="zh-CN"/>
        </w:rPr>
        <w:t>一、总体要求</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eastAsia="zh-CN"/>
        </w:rPr>
        <w:t>以习近平新时代中国特色社会主义思想为指导，完整、准确、全面贯彻新发展理念，坚持“规范秩序、绿色转型、长效监管”，按照规划引领、总量管控、合理布局、安全环保、便民利民、疏堵结合的原则，构建“村（居）回收站点—镇（街）中转站—市级分拣中心”三级回收网络体系，统筹存量整治与增量管控，通过科学布点、严格准入、分级监管，压实职能部门、属地镇（街）和经营主体三方责任，实现行业安全化、绿色化、规范化、高质量发展。</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color w:val="auto"/>
          <w:kern w:val="2"/>
          <w:sz w:val="32"/>
          <w:szCs w:val="32"/>
          <w:highlight w:val="none"/>
          <w:lang w:eastAsia="zh-CN"/>
        </w:rPr>
      </w:pPr>
      <w:r>
        <w:rPr>
          <w:rFonts w:hint="eastAsia" w:ascii="黑体" w:hAnsi="黑体" w:eastAsia="黑体" w:cs="黑体"/>
          <w:color w:val="auto"/>
          <w:kern w:val="2"/>
          <w:sz w:val="32"/>
          <w:szCs w:val="32"/>
          <w:highlight w:val="none"/>
          <w:lang w:eastAsia="zh-CN"/>
        </w:rPr>
        <w:t>二、布点原则</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楷体" w:hAnsi="楷体" w:eastAsia="楷体" w:cs="楷体"/>
          <w:color w:val="auto"/>
          <w:kern w:val="2"/>
          <w:sz w:val="32"/>
          <w:szCs w:val="32"/>
          <w:highlight w:val="none"/>
          <w:lang w:eastAsia="zh-CN"/>
        </w:rPr>
        <w:t>（一）规划引领，合规选址。</w:t>
      </w:r>
      <w:r>
        <w:rPr>
          <w:rFonts w:hint="eastAsia" w:ascii="仿宋_GB2312" w:hAnsi="仿宋_GB2312" w:eastAsia="仿宋_GB2312" w:cs="仿宋_GB2312"/>
          <w:color w:val="auto"/>
          <w:kern w:val="2"/>
          <w:sz w:val="32"/>
          <w:szCs w:val="32"/>
          <w:highlight w:val="none"/>
          <w:lang w:eastAsia="zh-CN"/>
        </w:rPr>
        <w:t>站点布设必须符合国土空间规划、</w:t>
      </w:r>
      <w:r>
        <w:rPr>
          <w:rFonts w:hint="eastAsia" w:cs="仿宋_GB2312"/>
          <w:color w:val="auto"/>
          <w:kern w:val="2"/>
          <w:sz w:val="32"/>
          <w:szCs w:val="32"/>
          <w:highlight w:val="none"/>
          <w:lang w:val="en-US" w:eastAsia="zh-CN"/>
        </w:rPr>
        <w:t>详细规划</w:t>
      </w:r>
      <w:r>
        <w:rPr>
          <w:rFonts w:hint="eastAsia" w:ascii="仿宋_GB2312" w:hAnsi="仿宋_GB2312" w:eastAsia="仿宋_GB2312" w:cs="仿宋_GB2312"/>
          <w:color w:val="auto"/>
          <w:kern w:val="2"/>
          <w:sz w:val="32"/>
          <w:szCs w:val="32"/>
          <w:highlight w:val="none"/>
          <w:lang w:eastAsia="zh-CN"/>
        </w:rPr>
        <w:t>和用途管制要求，优先使用合法合规的工业用地、集体建设用地和市政规划用地，严禁占用基本农田</w:t>
      </w:r>
      <w:r>
        <w:rPr>
          <w:rFonts w:hint="eastAsia" w:ascii="仿宋" w:hAnsi="仿宋" w:eastAsia="仿宋" w:cs="仿宋"/>
          <w:sz w:val="32"/>
          <w:szCs w:val="32"/>
          <w:highlight w:val="none"/>
          <w:lang w:val="en-US" w:eastAsia="zh-CN"/>
        </w:rPr>
        <w:t>及生态保护红线</w:t>
      </w:r>
      <w:r>
        <w:rPr>
          <w:rFonts w:hint="eastAsia" w:ascii="仿宋_GB2312" w:hAnsi="仿宋_GB2312" w:eastAsia="仿宋_GB2312" w:cs="仿宋_GB2312"/>
          <w:color w:val="auto"/>
          <w:kern w:val="2"/>
          <w:sz w:val="32"/>
          <w:szCs w:val="32"/>
          <w:highlight w:val="none"/>
          <w:lang w:eastAsia="zh-CN"/>
        </w:rPr>
        <w:t>，严禁租用宅基地和未经批准的临时建筑物。</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楷体" w:hAnsi="楷体" w:eastAsia="楷体" w:cs="楷体"/>
          <w:color w:val="auto"/>
          <w:kern w:val="2"/>
          <w:sz w:val="32"/>
          <w:szCs w:val="32"/>
          <w:highlight w:val="none"/>
          <w:lang w:eastAsia="zh-CN"/>
        </w:rPr>
        <w:t>（二）总量管控，分级负责。</w:t>
      </w:r>
      <w:r>
        <w:rPr>
          <w:rFonts w:hint="eastAsia" w:ascii="仿宋_GB2312" w:hAnsi="仿宋_GB2312" w:eastAsia="仿宋_GB2312" w:cs="仿宋_GB2312"/>
          <w:color w:val="auto"/>
          <w:kern w:val="2"/>
          <w:sz w:val="32"/>
          <w:szCs w:val="32"/>
          <w:highlight w:val="none"/>
          <w:lang w:eastAsia="zh-CN"/>
        </w:rPr>
        <w:t>全市固定交投点实行总量控制，中转站按镇（街）规划建设，各镇（街）制定辖区布点清单。</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楷体" w:hAnsi="楷体" w:eastAsia="楷体" w:cs="楷体"/>
          <w:color w:val="auto"/>
          <w:kern w:val="2"/>
          <w:sz w:val="32"/>
          <w:szCs w:val="32"/>
          <w:highlight w:val="none"/>
          <w:lang w:eastAsia="zh-CN"/>
        </w:rPr>
        <w:t>（三）合理布局，便民利民。</w:t>
      </w:r>
      <w:r>
        <w:rPr>
          <w:rFonts w:hint="eastAsia" w:ascii="仿宋_GB2312" w:hAnsi="仿宋_GB2312" w:eastAsia="仿宋_GB2312" w:cs="仿宋_GB2312"/>
          <w:color w:val="auto"/>
          <w:kern w:val="2"/>
          <w:sz w:val="32"/>
          <w:szCs w:val="32"/>
          <w:highlight w:val="none"/>
          <w:lang w:eastAsia="zh-CN"/>
        </w:rPr>
        <w:t>城区以固定网点为主、每1000—2000户设置1个固定交投点；农村行政村原则上每个村设置1个固定交投点，山区、居住分散、暂不具备固定站点建设条件的可设置流动交投点。</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楷体" w:hAnsi="楷体" w:eastAsia="楷体" w:cs="楷体"/>
          <w:color w:val="auto"/>
          <w:kern w:val="2"/>
          <w:sz w:val="32"/>
          <w:szCs w:val="32"/>
          <w:highlight w:val="none"/>
          <w:lang w:eastAsia="zh-CN"/>
        </w:rPr>
        <w:t>（四）安全环保，达标建设。</w:t>
      </w:r>
      <w:r>
        <w:rPr>
          <w:rFonts w:hint="eastAsia" w:ascii="仿宋_GB2312" w:hAnsi="仿宋_GB2312" w:eastAsia="仿宋_GB2312" w:cs="仿宋_GB2312"/>
          <w:color w:val="auto"/>
          <w:kern w:val="2"/>
          <w:sz w:val="32"/>
          <w:szCs w:val="32"/>
          <w:highlight w:val="none"/>
          <w:lang w:eastAsia="zh-CN"/>
        </w:rPr>
        <w:t>站点建设严格执行国家和行业建设标准及消防、环保强制性要求，作业区、贮存区禁止露天，落实防火防爆、防渗防雨、污水收集、噪声控制等措施。</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楷体" w:hAnsi="楷体" w:eastAsia="楷体" w:cs="楷体"/>
          <w:color w:val="auto"/>
          <w:kern w:val="2"/>
          <w:sz w:val="32"/>
          <w:szCs w:val="32"/>
          <w:highlight w:val="none"/>
          <w:lang w:eastAsia="zh-CN"/>
        </w:rPr>
        <w:t>（五）疏堵结合，集聚发展。</w:t>
      </w:r>
      <w:r>
        <w:rPr>
          <w:rFonts w:hint="eastAsia" w:ascii="仿宋_GB2312" w:hAnsi="仿宋_GB2312" w:eastAsia="仿宋_GB2312" w:cs="仿宋_GB2312"/>
          <w:color w:val="auto"/>
          <w:kern w:val="2"/>
          <w:sz w:val="32"/>
          <w:szCs w:val="32"/>
          <w:highlight w:val="none"/>
          <w:lang w:eastAsia="zh-CN"/>
        </w:rPr>
        <w:t>划定禁止发展区、限制发展区、集中发展区，引导存量回收经营主体</w:t>
      </w:r>
      <w:r>
        <w:rPr>
          <w:rFonts w:hint="eastAsia" w:ascii="仿宋_GB2312" w:hAnsi="仿宋_GB2312" w:eastAsia="仿宋_GB2312" w:cs="仿宋_GB2312"/>
          <w:color w:val="auto"/>
          <w:kern w:val="2"/>
          <w:sz w:val="32"/>
          <w:szCs w:val="32"/>
          <w:highlight w:val="none"/>
          <w:lang w:val="en-US" w:eastAsia="zh-CN"/>
        </w:rPr>
        <w:t>进</w:t>
      </w:r>
      <w:r>
        <w:rPr>
          <w:rFonts w:hint="eastAsia" w:ascii="仿宋_GB2312" w:hAnsi="仿宋_GB2312" w:eastAsia="仿宋_GB2312" w:cs="仿宋_GB2312"/>
          <w:color w:val="auto"/>
          <w:kern w:val="2"/>
          <w:sz w:val="32"/>
          <w:szCs w:val="32"/>
          <w:highlight w:val="none"/>
          <w:lang w:eastAsia="zh-CN"/>
        </w:rPr>
        <w:t>集中发展区经营，对不符合开办条件的站点依法限期整改、关停清理。</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color w:val="auto"/>
          <w:kern w:val="2"/>
          <w:sz w:val="32"/>
          <w:szCs w:val="32"/>
          <w:highlight w:val="none"/>
          <w:lang w:eastAsia="zh-CN"/>
        </w:rPr>
      </w:pPr>
      <w:r>
        <w:rPr>
          <w:rFonts w:hint="eastAsia" w:ascii="黑体" w:hAnsi="黑体" w:eastAsia="黑体" w:cs="黑体"/>
          <w:color w:val="auto"/>
          <w:kern w:val="2"/>
          <w:sz w:val="32"/>
          <w:szCs w:val="32"/>
          <w:highlight w:val="none"/>
          <w:lang w:eastAsia="zh-CN"/>
        </w:rPr>
        <w:t>三、总体规划布局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eastAsia="zh-CN"/>
        </w:rPr>
        <w:t>全市构建三级回收网络体系：村（居）再生资源回收点（固定交投点+流动交投点）、镇（街）再生资源回收中转站、市级再生资源分拣中心。实行固定回收站点为主、</w:t>
      </w:r>
      <w:r>
        <w:rPr>
          <w:rFonts w:hint="eastAsia" w:cs="仿宋_GB2312"/>
          <w:color w:val="auto"/>
          <w:kern w:val="2"/>
          <w:sz w:val="32"/>
          <w:szCs w:val="32"/>
          <w:highlight w:val="none"/>
          <w:lang w:eastAsia="zh-CN"/>
        </w:rPr>
        <w:t>流动交投点</w:t>
      </w:r>
      <w:r>
        <w:rPr>
          <w:rFonts w:hint="eastAsia" w:ascii="仿宋_GB2312" w:hAnsi="仿宋_GB2312" w:eastAsia="仿宋_GB2312" w:cs="仿宋_GB2312"/>
          <w:color w:val="auto"/>
          <w:kern w:val="2"/>
          <w:sz w:val="32"/>
          <w:szCs w:val="32"/>
          <w:highlight w:val="none"/>
          <w:lang w:eastAsia="zh-CN"/>
        </w:rPr>
        <w:t>为辅的模式：城区布局固定网点；农村行政村优先设置固定站点，条件不足的设置</w:t>
      </w:r>
      <w:r>
        <w:rPr>
          <w:rFonts w:hint="eastAsia" w:cs="仿宋_GB2312"/>
          <w:color w:val="auto"/>
          <w:kern w:val="2"/>
          <w:sz w:val="32"/>
          <w:szCs w:val="32"/>
          <w:highlight w:val="none"/>
          <w:lang w:eastAsia="zh-CN"/>
        </w:rPr>
        <w:t>流动交投点</w:t>
      </w:r>
      <w:r>
        <w:rPr>
          <w:rFonts w:hint="eastAsia" w:ascii="仿宋_GB2312" w:hAnsi="仿宋_GB2312" w:eastAsia="仿宋_GB2312" w:cs="仿宋_GB2312"/>
          <w:color w:val="auto"/>
          <w:kern w:val="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eastAsia="zh-CN"/>
        </w:rPr>
      </w:pPr>
      <w:r>
        <w:rPr>
          <w:rFonts w:hint="eastAsia" w:ascii="楷体" w:hAnsi="楷体" w:eastAsia="楷体" w:cs="楷体"/>
          <w:color w:val="auto"/>
          <w:kern w:val="2"/>
          <w:sz w:val="32"/>
          <w:szCs w:val="32"/>
          <w:highlight w:val="none"/>
          <w:lang w:eastAsia="zh-CN"/>
        </w:rPr>
        <w:t>（一）布点区位管控</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cs="仿宋_GB2312"/>
          <w:color w:val="auto"/>
          <w:kern w:val="2"/>
          <w:sz w:val="32"/>
          <w:szCs w:val="32"/>
          <w:highlight w:val="none"/>
          <w:lang w:eastAsia="zh-CN"/>
        </w:rPr>
        <w:t>1.</w:t>
      </w:r>
      <w:r>
        <w:rPr>
          <w:rFonts w:hint="eastAsia" w:ascii="仿宋_GB2312" w:hAnsi="仿宋_GB2312" w:eastAsia="仿宋_GB2312" w:cs="仿宋_GB2312"/>
          <w:color w:val="auto"/>
          <w:kern w:val="2"/>
          <w:sz w:val="32"/>
          <w:szCs w:val="32"/>
          <w:highlight w:val="none"/>
          <w:lang w:eastAsia="zh-CN"/>
        </w:rPr>
        <w:t>禁止发展区。严禁在下列区域布设任何再生资源回收站点：</w:t>
      </w:r>
      <w:r>
        <w:rPr>
          <w:rFonts w:hint="eastAsia" w:cs="仿宋_GB2312"/>
          <w:color w:val="auto"/>
          <w:kern w:val="2"/>
          <w:sz w:val="32"/>
          <w:szCs w:val="32"/>
          <w:highlight w:val="none"/>
          <w:lang w:val="en-US" w:eastAsia="zh-CN"/>
        </w:rPr>
        <w:t>文物保护单位保护范围及建设控制地带，世界文化遗产开平碉楼与村落遗产区</w:t>
      </w:r>
      <w:r>
        <w:rPr>
          <w:rFonts w:hint="eastAsia" w:ascii="仿宋_GB2312" w:hAnsi="仿宋_GB2312" w:eastAsia="仿宋_GB2312" w:cs="仿宋_GB2312"/>
          <w:color w:val="auto"/>
          <w:kern w:val="2"/>
          <w:sz w:val="32"/>
          <w:szCs w:val="32"/>
          <w:highlight w:val="none"/>
          <w:lang w:eastAsia="zh-CN"/>
        </w:rPr>
        <w:t>；军事禁区、港口；饮用水水源保护区；基本农田保护区；公路建筑控制区（国道不少于20米、省道不少于15米、县道不少于10米、乡道不少于5米、高速公路不少于30米）；铁路线路安全保护区（城市市区高速铁路10米、其他铁路8米，城市郊区居民居住区高速铁路12米、其他铁路10米，村镇居民居住区高速铁路15米、其他铁路12米，其他地区高速铁路20米、其他铁路15米）；架空电力线路保护区（1—10千伏5米、35—110千伏10米、154—330千伏15米、500千伏20米）；危险品储存场所周边；城市</w:t>
      </w:r>
      <w:r>
        <w:rPr>
          <w:rFonts w:hint="eastAsia" w:cs="仿宋_GB2312"/>
          <w:color w:val="auto"/>
          <w:kern w:val="2"/>
          <w:sz w:val="32"/>
          <w:szCs w:val="32"/>
          <w:highlight w:val="none"/>
          <w:lang w:eastAsia="zh-CN"/>
        </w:rPr>
        <w:t>生态保护红线</w:t>
      </w:r>
      <w:r>
        <w:rPr>
          <w:rFonts w:hint="eastAsia" w:ascii="仿宋_GB2312" w:hAnsi="仿宋_GB2312" w:eastAsia="仿宋_GB2312" w:cs="仿宋_GB2312"/>
          <w:color w:val="auto"/>
          <w:kern w:val="2"/>
          <w:sz w:val="32"/>
          <w:szCs w:val="32"/>
          <w:highlight w:val="none"/>
          <w:lang w:eastAsia="zh-CN"/>
        </w:rPr>
        <w:t>管控区域。荻海埠等历史风貌片区严控新增回收站点，存量站点引导逐步迁出。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cs="仿宋_GB2312"/>
          <w:color w:val="auto"/>
          <w:kern w:val="2"/>
          <w:sz w:val="32"/>
          <w:szCs w:val="32"/>
          <w:highlight w:val="none"/>
          <w:lang w:eastAsia="zh-CN"/>
        </w:rPr>
        <w:t>2.</w:t>
      </w:r>
      <w:r>
        <w:rPr>
          <w:rFonts w:hint="eastAsia" w:ascii="仿宋_GB2312" w:hAnsi="仿宋_GB2312" w:eastAsia="仿宋_GB2312" w:cs="仿宋_GB2312"/>
          <w:color w:val="auto"/>
          <w:kern w:val="2"/>
          <w:sz w:val="32"/>
          <w:szCs w:val="32"/>
          <w:highlight w:val="none"/>
          <w:lang w:eastAsia="zh-CN"/>
        </w:rPr>
        <w:t>限制发展区。现有回收经营主体集中但不满足集中发展区条件、暂无法搬迁的区域划为限制发展区。限制发展区严禁新增回收站点，督促存量站点限期开展环保、消防设施升级，设定过渡期，逐步引导向集中发展区转移。</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cs="仿宋_GB2312"/>
          <w:color w:val="auto"/>
          <w:kern w:val="2"/>
          <w:sz w:val="32"/>
          <w:szCs w:val="32"/>
          <w:highlight w:val="none"/>
          <w:lang w:eastAsia="zh-CN"/>
        </w:rPr>
        <w:t>3.</w:t>
      </w:r>
      <w:r>
        <w:rPr>
          <w:rFonts w:hint="eastAsia" w:ascii="仿宋_GB2312" w:hAnsi="仿宋_GB2312" w:eastAsia="仿宋_GB2312" w:cs="仿宋_GB2312"/>
          <w:color w:val="auto"/>
          <w:kern w:val="2"/>
          <w:sz w:val="32"/>
          <w:szCs w:val="32"/>
          <w:highlight w:val="none"/>
          <w:lang w:eastAsia="zh-CN"/>
        </w:rPr>
        <w:t>集中发展区。各镇（街）结合国土空间规划，优先选取远离</w:t>
      </w:r>
      <w:r>
        <w:rPr>
          <w:rFonts w:hint="eastAsia" w:cs="仿宋_GB2312"/>
          <w:color w:val="auto"/>
          <w:kern w:val="2"/>
          <w:sz w:val="32"/>
          <w:szCs w:val="32"/>
          <w:highlight w:val="none"/>
          <w:lang w:eastAsia="zh-CN"/>
        </w:rPr>
        <w:t>生态保护红线</w:t>
      </w:r>
      <w:r>
        <w:rPr>
          <w:rFonts w:hint="eastAsia" w:ascii="仿宋_GB2312" w:hAnsi="仿宋_GB2312" w:eastAsia="仿宋_GB2312" w:cs="仿宋_GB2312"/>
          <w:color w:val="auto"/>
          <w:kern w:val="2"/>
          <w:sz w:val="32"/>
          <w:szCs w:val="32"/>
          <w:highlight w:val="none"/>
          <w:lang w:eastAsia="zh-CN"/>
        </w:rPr>
        <w:t>、基本农田，交通便利，市政水、电、排污配套完善的工业用地、集体建设用地划定集中发展区，重点布局再生资源中转站，引导回收企业</w:t>
      </w:r>
      <w:r>
        <w:rPr>
          <w:rFonts w:hint="eastAsia" w:ascii="仿宋_GB2312" w:hAnsi="仿宋_GB2312" w:eastAsia="仿宋_GB2312" w:cs="仿宋_GB2312"/>
          <w:color w:val="auto"/>
          <w:kern w:val="2"/>
          <w:sz w:val="32"/>
          <w:szCs w:val="32"/>
          <w:highlight w:val="none"/>
          <w:lang w:val="en-US" w:eastAsia="zh-CN"/>
        </w:rPr>
        <w:t>进</w:t>
      </w:r>
      <w:r>
        <w:rPr>
          <w:rFonts w:hint="eastAsia" w:ascii="仿宋_GB2312" w:hAnsi="仿宋_GB2312" w:eastAsia="仿宋_GB2312" w:cs="仿宋_GB2312"/>
          <w:color w:val="auto"/>
          <w:kern w:val="2"/>
          <w:sz w:val="32"/>
          <w:szCs w:val="32"/>
          <w:highlight w:val="none"/>
          <w:lang w:eastAsia="zh-CN"/>
        </w:rPr>
        <w:t>集中发展区发展。</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eastAsia="zh-CN"/>
        </w:rPr>
        <w:t>选址通用要求：站点应避开学校、幼儿园、医院等人员密集场所；与居民楼等敏感场所距离不小于50米；消防车辆可顺畅抵达；不得租用宅基地、未经审批的临时建筑开展回收</w:t>
      </w:r>
      <w:bookmarkStart w:id="0" w:name="_GoBack"/>
      <w:bookmarkEnd w:id="0"/>
      <w:r>
        <w:rPr>
          <w:rFonts w:hint="eastAsia" w:ascii="仿宋_GB2312" w:hAnsi="仿宋_GB2312" w:eastAsia="仿宋_GB2312" w:cs="仿宋_GB2312"/>
          <w:color w:val="auto"/>
          <w:kern w:val="2"/>
          <w:sz w:val="32"/>
          <w:szCs w:val="32"/>
          <w:highlight w:val="none"/>
          <w:lang w:eastAsia="zh-CN"/>
        </w:rPr>
        <w:t>经营活动；不得超出门店、门窗外墙堆放废品或违法搭建建（构）筑物。</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eastAsia="zh-CN"/>
        </w:rPr>
      </w:pPr>
      <w:r>
        <w:rPr>
          <w:rFonts w:hint="eastAsia" w:ascii="楷体" w:hAnsi="楷体" w:eastAsia="楷体" w:cs="楷体"/>
          <w:color w:val="auto"/>
          <w:kern w:val="2"/>
          <w:sz w:val="32"/>
          <w:szCs w:val="32"/>
          <w:highlight w:val="none"/>
          <w:lang w:eastAsia="zh-CN"/>
        </w:rPr>
        <w:t>（二）布点数量规划</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eastAsia="zh-CN"/>
        </w:rPr>
        <w:t>城区每1000—2000户设置1个固定交投点；农村每个行政村至少设置1个固定交投点，条件不足设置流动交投点；三埠</w:t>
      </w:r>
      <w:r>
        <w:rPr>
          <w:rFonts w:hint="eastAsia" w:ascii="仿宋_GB2312" w:hAnsi="仿宋_GB2312" w:eastAsia="仿宋_GB2312" w:cs="仿宋_GB2312"/>
          <w:color w:val="auto"/>
          <w:kern w:val="2"/>
          <w:sz w:val="32"/>
          <w:szCs w:val="32"/>
          <w:highlight w:val="none"/>
          <w:lang w:val="en-US" w:eastAsia="zh-CN"/>
        </w:rPr>
        <w:t>街道</w:t>
      </w:r>
      <w:r>
        <w:rPr>
          <w:rFonts w:hint="eastAsia" w:ascii="仿宋_GB2312" w:hAnsi="仿宋_GB2312" w:eastAsia="仿宋_GB2312" w:cs="仿宋_GB2312"/>
          <w:color w:val="auto"/>
          <w:kern w:val="2"/>
          <w:sz w:val="32"/>
          <w:szCs w:val="32"/>
          <w:highlight w:val="none"/>
          <w:lang w:eastAsia="zh-CN"/>
        </w:rPr>
        <w:t>、长沙</w:t>
      </w:r>
      <w:r>
        <w:rPr>
          <w:rFonts w:hint="eastAsia" w:ascii="仿宋_GB2312" w:hAnsi="仿宋_GB2312" w:eastAsia="仿宋_GB2312" w:cs="仿宋_GB2312"/>
          <w:color w:val="auto"/>
          <w:kern w:val="2"/>
          <w:sz w:val="32"/>
          <w:szCs w:val="32"/>
          <w:highlight w:val="none"/>
          <w:lang w:val="en-US" w:eastAsia="zh-CN"/>
        </w:rPr>
        <w:t>街道</w:t>
      </w:r>
      <w:r>
        <w:rPr>
          <w:rFonts w:hint="eastAsia" w:cs="仿宋_GB2312"/>
          <w:color w:val="auto"/>
          <w:kern w:val="2"/>
          <w:sz w:val="32"/>
          <w:szCs w:val="32"/>
          <w:highlight w:val="none"/>
          <w:lang w:val="en-US" w:eastAsia="zh-CN"/>
        </w:rPr>
        <w:t>、</w:t>
      </w:r>
      <w:r>
        <w:rPr>
          <w:rFonts w:hint="eastAsia" w:ascii="仿宋_GB2312" w:hAnsi="仿宋_GB2312" w:eastAsia="仿宋_GB2312" w:cs="仿宋_GB2312"/>
          <w:color w:val="auto"/>
          <w:kern w:val="2"/>
          <w:sz w:val="32"/>
          <w:szCs w:val="32"/>
          <w:highlight w:val="none"/>
          <w:lang w:eastAsia="zh-CN"/>
        </w:rPr>
        <w:t>水口镇</w:t>
      </w:r>
      <w:r>
        <w:rPr>
          <w:rFonts w:hint="eastAsia" w:cs="仿宋_GB2312"/>
          <w:color w:val="auto"/>
          <w:kern w:val="2"/>
          <w:sz w:val="32"/>
          <w:szCs w:val="32"/>
          <w:highlight w:val="none"/>
          <w:lang w:val="en-US" w:eastAsia="zh-CN"/>
        </w:rPr>
        <w:t>和沙塘镇</w:t>
      </w:r>
      <w:r>
        <w:rPr>
          <w:rFonts w:hint="eastAsia" w:ascii="仿宋_GB2312" w:hAnsi="仿宋_GB2312" w:eastAsia="仿宋_GB2312" w:cs="仿宋_GB2312"/>
          <w:color w:val="auto"/>
          <w:kern w:val="2"/>
          <w:sz w:val="32"/>
          <w:szCs w:val="32"/>
          <w:highlight w:val="none"/>
          <w:lang w:eastAsia="zh-CN"/>
        </w:rPr>
        <w:t>各规划</w:t>
      </w:r>
      <w:r>
        <w:rPr>
          <w:rFonts w:hint="eastAsia" w:ascii="仿宋_GB2312" w:hAnsi="仿宋_GB2312" w:eastAsia="仿宋_GB2312" w:cs="仿宋_GB2312"/>
          <w:color w:val="auto"/>
          <w:kern w:val="2"/>
          <w:sz w:val="32"/>
          <w:szCs w:val="32"/>
          <w:highlight w:val="none"/>
          <w:lang w:val="en-US" w:eastAsia="zh-CN"/>
        </w:rPr>
        <w:t>设置</w:t>
      </w:r>
      <w:r>
        <w:rPr>
          <w:rFonts w:hint="eastAsia" w:ascii="仿宋_GB2312" w:hAnsi="仿宋_GB2312" w:eastAsia="仿宋_GB2312" w:cs="仿宋_GB2312"/>
          <w:color w:val="auto"/>
          <w:kern w:val="2"/>
          <w:sz w:val="32"/>
          <w:szCs w:val="32"/>
          <w:highlight w:val="none"/>
          <w:lang w:eastAsia="zh-CN"/>
        </w:rPr>
        <w:t>1座标准化中转站；</w:t>
      </w:r>
      <w:r>
        <w:rPr>
          <w:rFonts w:hint="eastAsia" w:ascii="仿宋_GB2312" w:hAnsi="仿宋_GB2312" w:eastAsia="仿宋_GB2312" w:cs="仿宋_GB2312"/>
          <w:color w:val="auto"/>
          <w:kern w:val="2"/>
          <w:sz w:val="32"/>
          <w:szCs w:val="32"/>
          <w:highlight w:val="none"/>
          <w:lang w:val="en-US" w:eastAsia="zh-CN"/>
        </w:rPr>
        <w:t>其他镇</w:t>
      </w:r>
      <w:r>
        <w:rPr>
          <w:rFonts w:hint="eastAsia" w:ascii="仿宋_GB2312" w:hAnsi="仿宋_GB2312" w:eastAsia="仿宋_GB2312" w:cs="仿宋_GB2312"/>
          <w:color w:val="auto"/>
          <w:kern w:val="2"/>
          <w:sz w:val="32"/>
          <w:szCs w:val="32"/>
          <w:highlight w:val="none"/>
          <w:lang w:eastAsia="zh-CN"/>
        </w:rPr>
        <w:t>按人口、再生资源产出</w:t>
      </w:r>
      <w:r>
        <w:rPr>
          <w:rFonts w:hint="eastAsia" w:ascii="仿宋_GB2312" w:hAnsi="仿宋_GB2312" w:eastAsia="仿宋_GB2312" w:cs="仿宋_GB2312"/>
          <w:color w:val="auto"/>
          <w:kern w:val="2"/>
          <w:sz w:val="32"/>
          <w:szCs w:val="32"/>
          <w:highlight w:val="none"/>
          <w:lang w:val="en-US" w:eastAsia="zh-CN"/>
        </w:rPr>
        <w:t>需求设置</w:t>
      </w:r>
      <w:r>
        <w:rPr>
          <w:rFonts w:hint="eastAsia" w:ascii="仿宋_GB2312" w:hAnsi="仿宋_GB2312" w:eastAsia="仿宋_GB2312" w:cs="仿宋_GB2312"/>
          <w:color w:val="auto"/>
          <w:kern w:val="2"/>
          <w:sz w:val="32"/>
          <w:szCs w:val="32"/>
          <w:highlight w:val="none"/>
          <w:lang w:eastAsia="zh-CN"/>
        </w:rPr>
        <w:t>中转站，相邻镇区可</w:t>
      </w:r>
      <w:r>
        <w:rPr>
          <w:rFonts w:hint="eastAsia" w:ascii="仿宋_GB2312" w:hAnsi="仿宋_GB2312" w:eastAsia="仿宋_GB2312" w:cs="仿宋_GB2312"/>
          <w:color w:val="auto"/>
          <w:kern w:val="2"/>
          <w:sz w:val="32"/>
          <w:szCs w:val="32"/>
          <w:highlight w:val="none"/>
          <w:lang w:val="en-US" w:eastAsia="zh-CN"/>
        </w:rPr>
        <w:t>协商</w:t>
      </w:r>
      <w:r>
        <w:rPr>
          <w:rFonts w:hint="eastAsia" w:ascii="仿宋_GB2312" w:hAnsi="仿宋_GB2312" w:eastAsia="仿宋_GB2312" w:cs="仿宋_GB2312"/>
          <w:color w:val="auto"/>
          <w:kern w:val="2"/>
          <w:sz w:val="32"/>
          <w:szCs w:val="32"/>
          <w:highlight w:val="none"/>
          <w:lang w:eastAsia="zh-CN"/>
        </w:rPr>
        <w:t>共建共享，避免重复建设。</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rPr>
        <w:t>镇（街）中转站规划</w:t>
      </w:r>
    </w:p>
    <w:tbl>
      <w:tblPr>
        <w:tblStyle w:val="33"/>
        <w:tblW w:w="94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8"/>
        <w:gridCol w:w="1905"/>
        <w:gridCol w:w="241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镇（</w:t>
            </w:r>
            <w:r>
              <w:rPr>
                <w:rFonts w:hint="eastAsia" w:cs="仿宋_GB2312"/>
                <w:b w:val="0"/>
                <w:bCs/>
                <w:color w:val="auto"/>
                <w:sz w:val="24"/>
                <w:szCs w:val="24"/>
                <w:highlight w:val="none"/>
                <w:lang w:eastAsia="zh-CN"/>
              </w:rPr>
              <w:t>街</w:t>
            </w:r>
            <w:r>
              <w:rPr>
                <w:rFonts w:hint="eastAsia" w:ascii="仿宋_GB2312" w:hAnsi="仿宋_GB2312" w:eastAsia="仿宋_GB2312" w:cs="仿宋_GB2312"/>
                <w:b w:val="0"/>
                <w:bCs/>
                <w:color w:val="auto"/>
                <w:sz w:val="24"/>
                <w:szCs w:val="24"/>
                <w:highlight w:val="none"/>
              </w:rPr>
              <w:t>）</w:t>
            </w:r>
          </w:p>
        </w:tc>
        <w:tc>
          <w:tcPr>
            <w:tcW w:w="1905" w:type="dxa"/>
          </w:tcPr>
          <w:p>
            <w:pPr>
              <w:spacing w:after="0" w:line="240" w:lineRule="auto"/>
              <w:jc w:val="center"/>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规划中转站数量</w:t>
            </w:r>
          </w:p>
        </w:tc>
        <w:tc>
          <w:tcPr>
            <w:tcW w:w="2415" w:type="dxa"/>
          </w:tcPr>
          <w:p>
            <w:pPr>
              <w:spacing w:after="0" w:line="240" w:lineRule="auto"/>
              <w:jc w:val="center"/>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中转站规划面积区间</w:t>
            </w:r>
          </w:p>
        </w:tc>
        <w:tc>
          <w:tcPr>
            <w:tcW w:w="3875" w:type="dxa"/>
          </w:tcPr>
          <w:p>
            <w:pPr>
              <w:spacing w:after="0" w:line="240" w:lineRule="auto"/>
              <w:jc w:val="center"/>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三埠街道</w:t>
            </w:r>
          </w:p>
        </w:tc>
        <w:tc>
          <w:tcPr>
            <w:tcW w:w="190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1</w:t>
            </w:r>
          </w:p>
        </w:tc>
        <w:tc>
          <w:tcPr>
            <w:tcW w:w="241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150—5000㎡</w:t>
            </w:r>
          </w:p>
        </w:tc>
        <w:tc>
          <w:tcPr>
            <w:tcW w:w="387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城区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长沙街道</w:t>
            </w:r>
          </w:p>
        </w:tc>
        <w:tc>
          <w:tcPr>
            <w:tcW w:w="190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1</w:t>
            </w:r>
          </w:p>
        </w:tc>
        <w:tc>
          <w:tcPr>
            <w:tcW w:w="241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150—5000㎡</w:t>
            </w:r>
          </w:p>
        </w:tc>
        <w:tc>
          <w:tcPr>
            <w:tcW w:w="387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城区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水口镇</w:t>
            </w:r>
          </w:p>
        </w:tc>
        <w:tc>
          <w:tcPr>
            <w:tcW w:w="190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1</w:t>
            </w:r>
          </w:p>
        </w:tc>
        <w:tc>
          <w:tcPr>
            <w:tcW w:w="241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150—5000㎡</w:t>
            </w:r>
          </w:p>
        </w:tc>
        <w:tc>
          <w:tcPr>
            <w:tcW w:w="387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工业大镇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月山镇</w:t>
            </w:r>
          </w:p>
        </w:tc>
        <w:tc>
          <w:tcPr>
            <w:tcW w:w="1905" w:type="dxa"/>
          </w:tcPr>
          <w:p>
            <w:pPr>
              <w:spacing w:after="0" w:line="240" w:lineRule="auto"/>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val="0"/>
                <w:color w:val="auto"/>
                <w:sz w:val="24"/>
                <w:szCs w:val="24"/>
                <w:highlight w:val="none"/>
                <w:lang w:val="en-US" w:eastAsia="zh-CN"/>
              </w:rPr>
              <w:t>按需设置</w:t>
            </w:r>
          </w:p>
        </w:tc>
        <w:tc>
          <w:tcPr>
            <w:tcW w:w="241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150—5000㎡</w:t>
            </w:r>
          </w:p>
        </w:tc>
        <w:tc>
          <w:tcPr>
            <w:tcW w:w="387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可与</w:t>
            </w:r>
            <w:r>
              <w:rPr>
                <w:rFonts w:hint="eastAsia" w:ascii="仿宋_GB2312" w:hAnsi="仿宋_GB2312" w:eastAsia="仿宋_GB2312" w:cs="仿宋_GB2312"/>
                <w:b w:val="0"/>
                <w:color w:val="auto"/>
                <w:sz w:val="24"/>
                <w:szCs w:val="24"/>
                <w:highlight w:val="none"/>
                <w:lang w:val="en-US" w:eastAsia="zh-CN"/>
              </w:rPr>
              <w:t>邻</w:t>
            </w:r>
            <w:r>
              <w:rPr>
                <w:rFonts w:hint="eastAsia" w:ascii="仿宋_GB2312" w:hAnsi="仿宋_GB2312" w:eastAsia="仿宋_GB2312" w:cs="仿宋_GB2312"/>
                <w:b w:val="0"/>
                <w:color w:val="auto"/>
                <w:sz w:val="24"/>
                <w:szCs w:val="24"/>
                <w:highlight w:val="none"/>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沙塘镇</w:t>
            </w:r>
          </w:p>
        </w:tc>
        <w:tc>
          <w:tcPr>
            <w:tcW w:w="190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cs="仿宋_GB2312"/>
                <w:b w:val="0"/>
                <w:color w:val="auto"/>
                <w:sz w:val="24"/>
                <w:szCs w:val="24"/>
                <w:highlight w:val="none"/>
                <w:lang w:val="en-US" w:eastAsia="zh-CN"/>
              </w:rPr>
              <w:t>1</w:t>
            </w:r>
          </w:p>
        </w:tc>
        <w:tc>
          <w:tcPr>
            <w:tcW w:w="241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150—5000㎡</w:t>
            </w:r>
          </w:p>
        </w:tc>
        <w:tc>
          <w:tcPr>
            <w:tcW w:w="3875" w:type="dxa"/>
          </w:tcPr>
          <w:p>
            <w:pPr>
              <w:spacing w:after="0" w:line="24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color w:val="auto"/>
                <w:sz w:val="24"/>
                <w:szCs w:val="24"/>
                <w:highlight w:val="none"/>
              </w:rPr>
              <w:t>工业镇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苍城镇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可与</w:t>
            </w:r>
            <w:r>
              <w:rPr>
                <w:rFonts w:hint="eastAsia" w:ascii="仿宋_GB2312" w:hAnsi="仿宋_GB2312" w:eastAsia="仿宋_GB2312" w:cs="仿宋_GB2312"/>
                <w:b w:val="0"/>
                <w:sz w:val="24"/>
                <w:szCs w:val="24"/>
                <w:lang w:val="en-US" w:eastAsia="zh-CN"/>
              </w:rPr>
              <w:t>邻</w:t>
            </w:r>
            <w:r>
              <w:rPr>
                <w:rFonts w:hint="eastAsia" w:ascii="仿宋_GB2312" w:hAnsi="仿宋_GB2312" w:eastAsia="仿宋_GB2312" w:cs="仿宋_GB2312"/>
                <w:b w:val="0"/>
                <w:sz w:val="24"/>
                <w:szCs w:val="24"/>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龙胜镇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可与</w:t>
            </w:r>
            <w:r>
              <w:rPr>
                <w:rFonts w:hint="eastAsia" w:ascii="仿宋_GB2312" w:hAnsi="仿宋_GB2312" w:eastAsia="仿宋_GB2312" w:cs="仿宋_GB2312"/>
                <w:b w:val="0"/>
                <w:sz w:val="24"/>
                <w:szCs w:val="24"/>
                <w:lang w:val="en-US" w:eastAsia="zh-CN"/>
              </w:rPr>
              <w:t>邻</w:t>
            </w:r>
            <w:r>
              <w:rPr>
                <w:rFonts w:hint="eastAsia" w:ascii="仿宋_GB2312" w:hAnsi="仿宋_GB2312" w:eastAsia="仿宋_GB2312" w:cs="仿宋_GB2312"/>
                <w:b w:val="0"/>
                <w:sz w:val="24"/>
                <w:szCs w:val="24"/>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8" w:type="dxa"/>
          </w:tcPr>
          <w:p>
            <w:pPr>
              <w:spacing w:after="0" w:line="240" w:lineRule="auto"/>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b w:val="0"/>
                <w:sz w:val="24"/>
                <w:szCs w:val="24"/>
                <w:highlight w:val="none"/>
              </w:rPr>
              <w:t>大沙镇</w:t>
            </w:r>
          </w:p>
        </w:tc>
        <w:tc>
          <w:tcPr>
            <w:tcW w:w="1905" w:type="dxa"/>
          </w:tcPr>
          <w:p>
            <w:pPr>
              <w:spacing w:after="0"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val="0"/>
                <w:sz w:val="24"/>
                <w:szCs w:val="24"/>
                <w:highlight w:val="none"/>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val="0"/>
                <w:sz w:val="24"/>
                <w:szCs w:val="24"/>
                <w:highlight w:val="none"/>
              </w:rPr>
              <w:t>150—5000㎡</w:t>
            </w:r>
          </w:p>
        </w:tc>
        <w:tc>
          <w:tcPr>
            <w:tcW w:w="3875" w:type="dxa"/>
          </w:tcPr>
          <w:p>
            <w:pPr>
              <w:spacing w:after="0" w:line="240" w:lineRule="auto"/>
              <w:jc w:val="center"/>
              <w:rPr>
                <w:rFonts w:hint="eastAsia" w:ascii="仿宋_GB2312" w:hAnsi="仿宋_GB2312" w:eastAsia="仿宋_GB2312" w:cs="仿宋_GB2312"/>
                <w:sz w:val="24"/>
                <w:szCs w:val="24"/>
                <w:highlight w:val="yellow"/>
              </w:rPr>
            </w:pPr>
            <w:r>
              <w:rPr>
                <w:rFonts w:hint="eastAsia" w:ascii="仿宋_GB2312" w:hAnsi="仿宋_GB2312" w:eastAsia="仿宋_GB2312" w:cs="仿宋_GB2312"/>
                <w:b w:val="0"/>
                <w:sz w:val="24"/>
                <w:szCs w:val="24"/>
              </w:rPr>
              <w:t>可与</w:t>
            </w:r>
            <w:r>
              <w:rPr>
                <w:rFonts w:hint="eastAsia" w:ascii="仿宋_GB2312" w:hAnsi="仿宋_GB2312" w:eastAsia="仿宋_GB2312" w:cs="仿宋_GB2312"/>
                <w:b w:val="0"/>
                <w:sz w:val="24"/>
                <w:szCs w:val="24"/>
                <w:lang w:val="en-US" w:eastAsia="zh-CN"/>
              </w:rPr>
              <w:t>邻</w:t>
            </w:r>
            <w:r>
              <w:rPr>
                <w:rFonts w:hint="eastAsia" w:ascii="仿宋_GB2312" w:hAnsi="仿宋_GB2312" w:eastAsia="仿宋_GB2312" w:cs="仿宋_GB2312"/>
                <w:b w:val="0"/>
                <w:sz w:val="24"/>
                <w:szCs w:val="24"/>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马冈镇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可与</w:t>
            </w:r>
            <w:r>
              <w:rPr>
                <w:rFonts w:hint="eastAsia" w:ascii="仿宋_GB2312" w:hAnsi="仿宋_GB2312" w:eastAsia="仿宋_GB2312" w:cs="仿宋_GB2312"/>
                <w:b w:val="0"/>
                <w:sz w:val="24"/>
                <w:szCs w:val="24"/>
                <w:lang w:val="en-US" w:eastAsia="zh-CN"/>
              </w:rPr>
              <w:t>邻</w:t>
            </w:r>
            <w:r>
              <w:rPr>
                <w:rFonts w:hint="eastAsia" w:ascii="仿宋_GB2312" w:hAnsi="仿宋_GB2312" w:eastAsia="仿宋_GB2312" w:cs="仿宋_GB2312"/>
                <w:b w:val="0"/>
                <w:sz w:val="24"/>
                <w:szCs w:val="24"/>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塘口镇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旅游镇，选址避开碉楼核心保护区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赤坎镇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旅游镇，严控风貌影响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百合镇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可与</w:t>
            </w:r>
            <w:r>
              <w:rPr>
                <w:rFonts w:hint="eastAsia" w:ascii="仿宋_GB2312" w:hAnsi="仿宋_GB2312" w:eastAsia="仿宋_GB2312" w:cs="仿宋_GB2312"/>
                <w:b w:val="0"/>
                <w:sz w:val="24"/>
                <w:szCs w:val="24"/>
                <w:lang w:val="en-US" w:eastAsia="zh-CN"/>
              </w:rPr>
              <w:t>邻</w:t>
            </w:r>
            <w:r>
              <w:rPr>
                <w:rFonts w:hint="eastAsia" w:ascii="仿宋_GB2312" w:hAnsi="仿宋_GB2312" w:eastAsia="仿宋_GB2312" w:cs="仿宋_GB2312"/>
                <w:b w:val="0"/>
                <w:sz w:val="24"/>
                <w:szCs w:val="24"/>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蚬冈镇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可与</w:t>
            </w:r>
            <w:r>
              <w:rPr>
                <w:rFonts w:hint="eastAsia" w:ascii="仿宋_GB2312" w:hAnsi="仿宋_GB2312" w:eastAsia="仿宋_GB2312" w:cs="仿宋_GB2312"/>
                <w:b w:val="0"/>
                <w:sz w:val="24"/>
                <w:szCs w:val="24"/>
                <w:lang w:val="en-US" w:eastAsia="zh-CN"/>
              </w:rPr>
              <w:t>邻</w:t>
            </w:r>
            <w:r>
              <w:rPr>
                <w:rFonts w:hint="eastAsia" w:ascii="仿宋_GB2312" w:hAnsi="仿宋_GB2312" w:eastAsia="仿宋_GB2312" w:cs="仿宋_GB2312"/>
                <w:b w:val="0"/>
                <w:sz w:val="24"/>
                <w:szCs w:val="24"/>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金鸡镇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可与</w:t>
            </w:r>
            <w:r>
              <w:rPr>
                <w:rFonts w:hint="eastAsia" w:ascii="仿宋_GB2312" w:hAnsi="仿宋_GB2312" w:eastAsia="仿宋_GB2312" w:cs="仿宋_GB2312"/>
                <w:b w:val="0"/>
                <w:sz w:val="24"/>
                <w:szCs w:val="24"/>
                <w:lang w:val="en-US" w:eastAsia="zh-CN"/>
              </w:rPr>
              <w:t>邻</w:t>
            </w:r>
            <w:r>
              <w:rPr>
                <w:rFonts w:hint="eastAsia" w:ascii="仿宋_GB2312" w:hAnsi="仿宋_GB2312" w:eastAsia="仿宋_GB2312" w:cs="仿宋_GB2312"/>
                <w:b w:val="0"/>
                <w:sz w:val="24"/>
                <w:szCs w:val="24"/>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赤水镇</w:t>
            </w:r>
          </w:p>
        </w:tc>
        <w:tc>
          <w:tcPr>
            <w:tcW w:w="190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lang w:val="en-US" w:eastAsia="zh-CN"/>
              </w:rPr>
              <w:t>按需设置</w:t>
            </w:r>
          </w:p>
        </w:tc>
        <w:tc>
          <w:tcPr>
            <w:tcW w:w="241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可与</w:t>
            </w:r>
            <w:r>
              <w:rPr>
                <w:rFonts w:hint="eastAsia" w:ascii="仿宋_GB2312" w:hAnsi="仿宋_GB2312" w:eastAsia="仿宋_GB2312" w:cs="仿宋_GB2312"/>
                <w:b w:val="0"/>
                <w:sz w:val="24"/>
                <w:szCs w:val="24"/>
                <w:lang w:val="en-US" w:eastAsia="zh-CN"/>
              </w:rPr>
              <w:t>邻</w:t>
            </w:r>
            <w:r>
              <w:rPr>
                <w:rFonts w:hint="eastAsia" w:ascii="仿宋_GB2312" w:hAnsi="仿宋_GB2312" w:eastAsia="仿宋_GB2312" w:cs="仿宋_GB2312"/>
                <w:b w:val="0"/>
                <w:sz w:val="24"/>
                <w:szCs w:val="24"/>
              </w:rPr>
              <w:t>镇统筹共建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pPr>
              <w:spacing w:after="0" w:line="240" w:lineRule="auto"/>
              <w:jc w:val="center"/>
              <w:rPr>
                <w:rFonts w:hint="eastAsia" w:ascii="仿宋_GB2312" w:hAnsi="仿宋_GB2312" w:eastAsia="仿宋_GB2312" w:cs="仿宋_GB2312"/>
                <w:b w:val="0"/>
                <w:sz w:val="24"/>
                <w:szCs w:val="24"/>
                <w:lang w:val="en-US" w:eastAsia="zh-CN"/>
              </w:rPr>
            </w:pPr>
            <w:r>
              <w:rPr>
                <w:rFonts w:hint="eastAsia" w:ascii="仿宋_GB2312" w:hAnsi="仿宋_GB2312" w:eastAsia="仿宋_GB2312" w:cs="仿宋_GB2312"/>
                <w:b w:val="0"/>
                <w:sz w:val="24"/>
                <w:szCs w:val="24"/>
                <w:lang w:val="en-US" w:eastAsia="zh-CN"/>
              </w:rPr>
              <w:t>翠山湖</w:t>
            </w:r>
          </w:p>
        </w:tc>
        <w:tc>
          <w:tcPr>
            <w:tcW w:w="1905" w:type="dxa"/>
            <w:vAlign w:val="top"/>
          </w:tcPr>
          <w:p>
            <w:pPr>
              <w:spacing w:after="0" w:line="240" w:lineRule="auto"/>
              <w:jc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b w:val="0"/>
                <w:sz w:val="24"/>
                <w:szCs w:val="24"/>
                <w:lang w:val="en-US" w:eastAsia="zh-CN"/>
              </w:rPr>
              <w:t>按需设置</w:t>
            </w:r>
          </w:p>
        </w:tc>
        <w:tc>
          <w:tcPr>
            <w:tcW w:w="2415" w:type="dxa"/>
            <w:vAlign w:val="top"/>
          </w:tcPr>
          <w:p>
            <w:pPr>
              <w:spacing w:after="0" w:line="240" w:lineRule="auto"/>
              <w:jc w:val="center"/>
              <w:rPr>
                <w:rFonts w:hint="eastAsia" w:ascii="仿宋_GB2312" w:hAnsi="仿宋_GB2312" w:eastAsia="仿宋_GB2312" w:cs="仿宋_GB2312"/>
                <w:sz w:val="24"/>
                <w:szCs w:val="24"/>
                <w:lang w:val="en-US" w:eastAsia="en-US" w:bidi="ar-SA"/>
              </w:rPr>
            </w:pPr>
            <w:r>
              <w:rPr>
                <w:rFonts w:hint="eastAsia" w:ascii="仿宋_GB2312" w:hAnsi="仿宋_GB2312" w:eastAsia="仿宋_GB2312" w:cs="仿宋_GB2312"/>
                <w:b w:val="0"/>
                <w:sz w:val="24"/>
                <w:szCs w:val="24"/>
              </w:rPr>
              <w:t>150—5000㎡</w:t>
            </w:r>
          </w:p>
        </w:tc>
        <w:tc>
          <w:tcPr>
            <w:tcW w:w="3875" w:type="dxa"/>
          </w:tcPr>
          <w:p>
            <w:pPr>
              <w:spacing w:after="0" w:line="240" w:lineRule="auto"/>
              <w:jc w:val="center"/>
              <w:rPr>
                <w:rFonts w:hint="eastAsia" w:ascii="仿宋_GB2312" w:hAnsi="仿宋_GB2312" w:eastAsia="仿宋_GB2312" w:cs="仿宋_GB2312"/>
                <w:b w:val="0"/>
                <w:sz w:val="24"/>
                <w:szCs w:val="24"/>
                <w:lang w:val="en-US" w:eastAsia="zh-CN"/>
              </w:rPr>
            </w:pPr>
            <w:r>
              <w:rPr>
                <w:rFonts w:hint="eastAsia" w:ascii="仿宋_GB2312" w:hAnsi="仿宋_GB2312" w:eastAsia="仿宋_GB2312" w:cs="仿宋_GB2312"/>
                <w:b w:val="0"/>
                <w:sz w:val="24"/>
                <w:szCs w:val="24"/>
                <w:lang w:val="en-US" w:eastAsia="zh-CN"/>
              </w:rPr>
              <w:t>工业园区</w:t>
            </w:r>
          </w:p>
        </w:tc>
      </w:tr>
    </w:tbl>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中转站建设要求：用地合法，优先使用市政规划用地、公建用地或合规租赁场地，面积150—5000㎡，禁止露天贮存、分拣；场地硬化防渗，划分收购区、作业分拣区、贮存区、装卸区并设置清晰标识；屋顶采用不燃材料，地面作防水防渗漏处理；配备地磅、打包、压块、叉车等设备，供电、给排水系统完备；不得开展生产性废旧金属切割、破碎等加工活动。</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2.</w:t>
      </w:r>
      <w:r>
        <w:rPr>
          <w:rFonts w:hint="eastAsia" w:ascii="仿宋_GB2312" w:hAnsi="仿宋_GB2312" w:eastAsia="仿宋_GB2312" w:cs="仿宋_GB2312"/>
          <w:color w:val="auto"/>
          <w:kern w:val="2"/>
          <w:sz w:val="32"/>
          <w:szCs w:val="32"/>
          <w:highlight w:val="none"/>
          <w:lang w:val="en-US" w:eastAsia="zh-CN"/>
        </w:rPr>
        <w:t>村（居）再生资源交投点规划</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1）固定交投点：以城区社区、行政村为单元布设。箱房式交投点建筑面积不小于6㎡；若兼顾垃圾分类，再生资源专用贮存面积不少于总面积的50%；箱体式交投点总容积不小于4m³，应为封闭式，地面硬化，具备通风、供电条件。</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（2）流动交投点：山区、居住分散、不具备固定站点建设条件的村（居）设置，采用封闭式厢式回收车辆，配备定位监控，回收频次不低于每两周1次，支持电话、APP预约回收。</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（3）全市固定交投点实行总量控制。各镇（街）结合辖区户数、行政村数量制定本镇（街）交投点控制数。</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rPr>
        <w:t>市级分拣中心</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规划建设1座综合绿色分拣中心，选址应交通便利、远离中心城区居民区，符合国土空间、环保、消防规划，使用租赁或自有建设用地，使用年限不少于10年。</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rPr>
      </w:pPr>
      <w:r>
        <w:rPr>
          <w:rFonts w:hint="eastAsia" w:ascii="黑体" w:hAnsi="黑体" w:eastAsia="黑体" w:cs="黑体"/>
          <w:color w:val="auto"/>
          <w:kern w:val="2"/>
          <w:sz w:val="32"/>
          <w:szCs w:val="32"/>
          <w:highlight w:val="none"/>
          <w:lang w:val="en-US" w:eastAsia="zh-CN"/>
        </w:rPr>
        <w:t>四、回收站点开办合规条件</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在本市行政区域内新开办固定式再生资源回收站点，必须同时符合下列全部条件：</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（一）主体资格合法。</w:t>
      </w:r>
      <w:r>
        <w:rPr>
          <w:rFonts w:hint="eastAsia" w:ascii="Times New Roman" w:hAnsi="Times New Roman" w:eastAsia="仿宋" w:cs="仿宋"/>
          <w:sz w:val="32"/>
          <w:szCs w:val="32"/>
          <w:highlight w:val="none"/>
          <w:lang w:val="en-US" w:eastAsia="zh-CN"/>
        </w:rPr>
        <w:t>应持有合法有效的营业执照，登记经营场所与实际经营场所相符，</w:t>
      </w:r>
      <w:r>
        <w:rPr>
          <w:rFonts w:hint="eastAsia" w:ascii="仿宋_GB2312" w:hAnsi="仿宋_GB2312" w:eastAsia="仿宋_GB2312" w:cs="仿宋_GB2312"/>
          <w:color w:val="auto"/>
          <w:kern w:val="2"/>
          <w:sz w:val="32"/>
          <w:szCs w:val="32"/>
          <w:highlight w:val="none"/>
          <w:lang w:val="en-US" w:eastAsia="zh-CN"/>
        </w:rPr>
        <w:t>实际经营范围与营业执照登记事项一致，并按登记机关公布的经营项目分类标准办理经营范围登记。（市市场监管局）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（二）用地和建筑合法。</w:t>
      </w:r>
      <w:r>
        <w:rPr>
          <w:rFonts w:hint="eastAsia" w:ascii="仿宋_GB2312" w:hAnsi="仿宋_GB2312" w:eastAsia="仿宋_GB2312" w:cs="仿宋_GB2312"/>
          <w:color w:val="auto"/>
          <w:kern w:val="2"/>
          <w:sz w:val="32"/>
          <w:szCs w:val="32"/>
          <w:highlight w:val="none"/>
          <w:lang w:val="en-US" w:eastAsia="zh-CN"/>
        </w:rPr>
        <w:t>应设置在取得合法用地、符合城乡规划的用地或建筑物内；不得租用宅基地，不得租用未经批准的建筑物，不得占用基本农田。（市自然资源局、市农业农村局依职责分工负责）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（三）不在禁设区域内。</w:t>
      </w:r>
      <w:r>
        <w:rPr>
          <w:rFonts w:hint="eastAsia" w:ascii="仿宋_GB2312" w:hAnsi="仿宋_GB2312" w:eastAsia="仿宋_GB2312" w:cs="仿宋_GB2312"/>
          <w:color w:val="auto"/>
          <w:kern w:val="2"/>
          <w:sz w:val="32"/>
          <w:szCs w:val="32"/>
          <w:highlight w:val="none"/>
          <w:lang w:val="en-US" w:eastAsia="zh-CN"/>
        </w:rPr>
        <w:t>不得设置在</w:t>
      </w:r>
      <w:r>
        <w:rPr>
          <w:rFonts w:hint="eastAsia" w:cs="仿宋_GB2312"/>
          <w:color w:val="auto"/>
          <w:kern w:val="2"/>
          <w:sz w:val="32"/>
          <w:szCs w:val="32"/>
          <w:highlight w:val="none"/>
          <w:lang w:val="en-US" w:eastAsia="zh-CN"/>
        </w:rPr>
        <w:t>文物保护单位保护范围及建设控制地带，世界文化遗产开平碉楼与村落遗产区</w:t>
      </w:r>
      <w:r>
        <w:rPr>
          <w:rFonts w:hint="eastAsia" w:ascii="仿宋_GB2312" w:hAnsi="仿宋_GB2312" w:eastAsia="仿宋_GB2312" w:cs="仿宋_GB2312"/>
          <w:color w:val="auto"/>
          <w:kern w:val="2"/>
          <w:sz w:val="32"/>
          <w:szCs w:val="32"/>
          <w:highlight w:val="none"/>
          <w:lang w:val="en-US" w:eastAsia="zh-CN"/>
        </w:rPr>
        <w:t>、港口、军事禁区；不得设置在公路建筑控制区、铁路线路安全保护区范围内；不得设置在架空电力线路保护区内；不得设置在饮用水水源保护区。（市文化广电旅游体育局、市交通运输局、江门市生态环境局开平分局、开平供电局依职责分工负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（四）符合国家和行业建设标准。</w:t>
      </w:r>
      <w:r>
        <w:rPr>
          <w:rFonts w:hint="eastAsia" w:ascii="仿宋_GB2312" w:hAnsi="仿宋_GB2312" w:eastAsia="仿宋_GB2312" w:cs="仿宋_GB2312"/>
          <w:color w:val="auto"/>
          <w:kern w:val="2"/>
          <w:sz w:val="32"/>
          <w:szCs w:val="32"/>
          <w:highlight w:val="none"/>
          <w:lang w:val="en-US" w:eastAsia="zh-CN"/>
        </w:rPr>
        <w:t>回收站点应为密闭式建筑，建造带棚防雨场所，禁止露天堆放、分拣再生资源；地面应作硬化；应具有包含再生资源回收经营范围的营业执照，完成再生资源回收经营者备案，并在固定经营场所显著位置悬挂或张贴相关资质证件；场所应划分为装卸、储存、分拣、办公及其他区域；选址应根据回收再生资源的性质，与居住区和人员活动密集区保持安全距离，防止散发的气味影响他人生活；涉及易燃、易爆及其他危险物品的，应设置可靠的安全防护设施和安全标识。（市科工商务局、市市场监管局、市公安局、江门市生态环境局开平分局、市卫生健康局、市消防救援局依职责分工负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（五）依法办理废旧金属回收备案。</w:t>
      </w:r>
      <w:r>
        <w:rPr>
          <w:rFonts w:hint="eastAsia" w:ascii="仿宋_GB2312" w:hAnsi="仿宋_GB2312" w:eastAsia="仿宋_GB2312" w:cs="仿宋_GB2312"/>
          <w:color w:val="auto"/>
          <w:kern w:val="2"/>
          <w:sz w:val="32"/>
          <w:szCs w:val="32"/>
          <w:highlight w:val="none"/>
          <w:lang w:val="en-US" w:eastAsia="zh-CN"/>
        </w:rPr>
        <w:t>回收生产性废旧金属的再生资源回收企业和回收非生产性废旧金属的再生资源回收经营者，应当在取得营业执照后15日内，向所在地县级人民政府公安机关备案。（市公安局）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（六）符合消防技术标准。</w:t>
      </w:r>
      <w:r>
        <w:rPr>
          <w:rFonts w:hint="eastAsia" w:ascii="仿宋_GB2312" w:hAnsi="仿宋_GB2312" w:eastAsia="仿宋_GB2312" w:cs="仿宋_GB2312"/>
          <w:color w:val="auto"/>
          <w:kern w:val="2"/>
          <w:sz w:val="32"/>
          <w:szCs w:val="32"/>
          <w:highlight w:val="none"/>
          <w:lang w:val="en-US" w:eastAsia="zh-CN"/>
        </w:rPr>
        <w:t>回收、储存废电池、废电子电器、废纸、废泡沫、废纺织品等易燃物的，按《建筑防火通用规范》乙类仓库管理；回收、储存废塑料等可燃物的，按丙类仓库管理。回收、储存、经营易燃易爆危险品的站点不得与居住场所设置在同一建筑物内，并与居住场所保持安全距离：乙类仓库与高层民用建筑和设置人员密集场所的其他民用建筑防火间距不应小于50米。同一座仓库或防火分区内储存不同火灾危险性物品时，按火灾危险性最大的物品确定；民用建筑内不得设置经营、存放或使用甲、乙类火灾危险性物品的商店、作坊或储藏间；单、多层丙类仓库耐火等级不应低于三级；丙类仓库内办公室、休息室等辅助用房应采用防火门、防火窗、耐火极限不低于2.00h的防火隔墙和不低于1.00h的楼板与其他部位分隔，并设置独立的安全出口。（市消防救援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（七）依法办理环评手续（如适用）。</w:t>
      </w:r>
      <w:r>
        <w:rPr>
          <w:rFonts w:hint="eastAsia" w:ascii="仿宋_GB2312" w:hAnsi="仿宋_GB2312" w:eastAsia="仿宋_GB2312" w:cs="仿宋_GB2312"/>
          <w:color w:val="auto"/>
          <w:kern w:val="2"/>
          <w:sz w:val="32"/>
          <w:szCs w:val="32"/>
          <w:highlight w:val="none"/>
          <w:lang w:val="en-US" w:eastAsia="zh-CN"/>
        </w:rPr>
        <w:t>站点仅有金属废料和碎屑、非金属废料和碎屑加工处理中的分拣、破碎工艺的，无需</w:t>
      </w:r>
      <w:r>
        <w:rPr>
          <w:rFonts w:hint="eastAsia" w:cs="仿宋_GB2312"/>
          <w:color w:val="auto"/>
          <w:kern w:val="2"/>
          <w:sz w:val="32"/>
          <w:szCs w:val="32"/>
          <w:highlight w:val="none"/>
          <w:lang w:val="en-US" w:eastAsia="zh-CN"/>
        </w:rPr>
        <w:t>办理</w:t>
      </w:r>
      <w:r>
        <w:rPr>
          <w:rFonts w:hint="eastAsia" w:ascii="仿宋_GB2312" w:hAnsi="仿宋_GB2312" w:eastAsia="仿宋_GB2312" w:cs="仿宋_GB2312"/>
          <w:color w:val="auto"/>
          <w:kern w:val="2"/>
          <w:sz w:val="32"/>
          <w:szCs w:val="32"/>
          <w:highlight w:val="none"/>
          <w:lang w:val="en-US" w:eastAsia="zh-CN"/>
        </w:rPr>
        <w:t>环评手续；从事废电池、废油加工处理的，应编制环境影响报告书并报生态环境部门审批；从事废弃电器电子产品、废机动车、废电机、废电线电缆、废钢、废铁、金属和金属化合物矿灰及残渣、有色金属废料与碎屑、废塑料、废轮胎、废船、含水洗工艺的其他废料和碎屑加工处理的，应编制环境影响报告表并报生态环境部门审批。（江门市生态环境局开平分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rPr>
      </w:pPr>
      <w:r>
        <w:rPr>
          <w:rFonts w:hint="eastAsia" w:ascii="黑体" w:hAnsi="黑体" w:eastAsia="黑体" w:cs="黑体"/>
          <w:color w:val="auto"/>
          <w:kern w:val="2"/>
          <w:sz w:val="32"/>
          <w:szCs w:val="32"/>
          <w:highlight w:val="none"/>
          <w:lang w:val="en-US" w:eastAsia="zh-CN"/>
        </w:rPr>
        <w:t>五、回收站点建设标准</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（一）交投点（固定）建设要求</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rPr>
        <w:t>建筑设施：优先采用箱房式封闭建筑，地面全部硬化；具备供电、通风条件，宜配套给排水，污水接入市政管网；箱体式应配置智能回收设备，支持自助交易。</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2.</w:t>
      </w:r>
      <w:r>
        <w:rPr>
          <w:rFonts w:hint="eastAsia" w:ascii="仿宋_GB2312" w:hAnsi="仿宋_GB2312" w:eastAsia="仿宋_GB2312" w:cs="仿宋_GB2312"/>
          <w:color w:val="auto"/>
          <w:kern w:val="2"/>
          <w:sz w:val="32"/>
          <w:szCs w:val="32"/>
          <w:highlight w:val="none"/>
          <w:lang w:val="en-US" w:eastAsia="zh-CN"/>
        </w:rPr>
        <w:t>设备配置：配备检定合格的计量器具、分类贮存设施、有害垃圾暂存设施，宜配备消杀设备、信息采集终端。</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rPr>
        <w:t>安全管理：落实防火防爆、用电安全，按GB 50140配备消防器材；建筑耐火等级、防火间距符合GB 50016《建筑设计防火规范》</w:t>
      </w:r>
      <w:r>
        <w:rPr>
          <w:rFonts w:hint="eastAsia" w:cs="仿宋_GB2312"/>
          <w:color w:val="auto"/>
          <w:kern w:val="2"/>
          <w:sz w:val="32"/>
          <w:szCs w:val="32"/>
          <w:highlight w:val="none"/>
          <w:lang w:val="en-US" w:eastAsia="zh-CN"/>
        </w:rPr>
        <w:t>和</w:t>
      </w:r>
      <w:r>
        <w:rPr>
          <w:rFonts w:hint="eastAsia" w:ascii="仿宋_GB2312" w:hAnsi="仿宋_GB2312" w:eastAsia="仿宋_GB2312" w:cs="仿宋_GB2312"/>
          <w:color w:val="auto"/>
          <w:kern w:val="2"/>
          <w:sz w:val="32"/>
          <w:szCs w:val="32"/>
          <w:highlight w:val="none"/>
          <w:lang w:val="en-US" w:eastAsia="zh-CN"/>
        </w:rPr>
        <w:t>《建筑防火通用规范》；交投点严禁住人，严禁使用明火。</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rPr>
        <w:t>环保要求：</w:t>
      </w:r>
      <w:r>
        <w:rPr>
          <w:rFonts w:hint="eastAsia" w:ascii="Times New Roman" w:hAnsi="Times New Roman" w:eastAsia="仿宋_GB2312" w:cs="仿宋_GB2312"/>
          <w:color w:val="000000"/>
          <w:kern w:val="0"/>
          <w:sz w:val="32"/>
          <w:szCs w:val="32"/>
          <w:highlight w:val="none"/>
          <w:lang w:val="en-US" w:eastAsia="zh-CN" w:bidi="ar-SA"/>
        </w:rPr>
        <w:t>污染物排放符合国家及地方生态环境相关排放标准要求；贮存场所落实防雨淋、防扬散、防流失、防渗漏或者其他防止污染环境的措施；未经生态环境部门审批，禁止收集、贮存、处置一般工业固体废物和危险废物”。</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5.</w:t>
      </w:r>
      <w:r>
        <w:rPr>
          <w:rFonts w:hint="eastAsia" w:ascii="仿宋_GB2312" w:hAnsi="仿宋_GB2312" w:eastAsia="仿宋_GB2312" w:cs="仿宋_GB2312"/>
          <w:color w:val="auto"/>
          <w:kern w:val="2"/>
          <w:sz w:val="32"/>
          <w:szCs w:val="32"/>
          <w:highlight w:val="none"/>
          <w:lang w:val="en-US" w:eastAsia="zh-CN"/>
        </w:rPr>
        <w:t>管理公示：显著位置设置公示牌，公示运营主体、联系电话、投诉渠道、回收品类价目表、服务时间、负责人信息；完整记录交投台账，留存磅单、收据，按要求报送回收统计数据。</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（二）中转站建设要求</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rPr>
        <w:t>用地与布局：用地合法，面积150—5000㎡，禁止露天贮存分拣；场地硬化防渗，划分功能分区并设置清晰标识。</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2.</w:t>
      </w:r>
      <w:r>
        <w:rPr>
          <w:rFonts w:hint="eastAsia" w:ascii="仿宋_GB2312" w:hAnsi="仿宋_GB2312" w:eastAsia="仿宋_GB2312" w:cs="仿宋_GB2312"/>
          <w:color w:val="auto"/>
          <w:kern w:val="2"/>
          <w:sz w:val="32"/>
          <w:szCs w:val="32"/>
          <w:highlight w:val="none"/>
          <w:lang w:val="en-US" w:eastAsia="zh-CN"/>
        </w:rPr>
        <w:t>配套设施：配备地磅、打包、压块、叉车等设备，供电、给排水系统完备。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rPr>
        <w:t>环保要求：</w:t>
      </w:r>
      <w:r>
        <w:rPr>
          <w:rFonts w:hint="eastAsia" w:ascii="Times New Roman" w:hAnsi="Times New Roman" w:eastAsia="仿宋_GB2312" w:cs="仿宋_GB2312"/>
          <w:color w:val="000000"/>
          <w:kern w:val="0"/>
          <w:sz w:val="32"/>
          <w:szCs w:val="32"/>
          <w:highlight w:val="none"/>
          <w:lang w:val="en-US" w:eastAsia="zh-CN" w:bidi="ar-SA"/>
        </w:rPr>
        <w:t>落实突发环境事件应急预案；污染物排放符合国家及地方生态环境相关排放标准要求；贮存场所落实防雨淋、防扬散、防流失、防渗漏或者其他防止污染环境的措施；一般工业固体废物、危险废物分别按照GB 18599-2020、GB 18597-2023标准贮存；未经生态环境部门审批，禁止收集、贮存、处置一般工业固体废物和危险废物”。</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rPr>
        <w:t>安全要求：建立安全生产、培训、消防演练制度；建筑耐火等级、防火间距符合GB 50016；配齐消防设备、安全警示标识；特种设备登记检验，操作人员持证上岗；站内禁止人员居住；禁止生产性废旧金属切割、破碎加工。</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5.</w:t>
      </w:r>
      <w:r>
        <w:rPr>
          <w:rFonts w:hint="eastAsia" w:ascii="仿宋_GB2312" w:hAnsi="仿宋_GB2312" w:eastAsia="仿宋_GB2312" w:cs="仿宋_GB2312"/>
          <w:color w:val="auto"/>
          <w:kern w:val="2"/>
          <w:sz w:val="32"/>
          <w:szCs w:val="32"/>
          <w:highlight w:val="none"/>
          <w:lang w:val="en-US" w:eastAsia="zh-CN"/>
        </w:rPr>
        <w:t>管理要求：设立公示牌；完整记录物资来源去向、转运车辆、品类重量台账；从业人员开展业务、安全、环保培训；物资及时转运至分拣中心或资源化利用企业。</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（三）人员管理</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rPr>
        <w:t>站点负责人、从业人员必须开展再生资源业务、消防安全、应急处置、环保操作培训。</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2.</w:t>
      </w:r>
      <w:r>
        <w:rPr>
          <w:rFonts w:hint="eastAsia" w:ascii="仿宋_GB2312" w:hAnsi="仿宋_GB2312" w:eastAsia="仿宋_GB2312" w:cs="仿宋_GB2312"/>
          <w:color w:val="auto"/>
          <w:kern w:val="2"/>
          <w:sz w:val="32"/>
          <w:szCs w:val="32"/>
          <w:highlight w:val="none"/>
          <w:lang w:val="en-US" w:eastAsia="zh-CN"/>
        </w:rPr>
        <w:t>特种作业必须持有有效的特种作业证件，无证人员不得从事特种作业。</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cs="仿宋_GB2312"/>
          <w:color w:val="auto"/>
          <w:kern w:val="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rPr>
        <w:t>落实劳动防护，配备必要的防护用具。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rPr>
      </w:pPr>
      <w:r>
        <w:rPr>
          <w:rFonts w:hint="eastAsia" w:ascii="黑体" w:hAnsi="黑体" w:eastAsia="黑体" w:cs="黑体"/>
          <w:color w:val="auto"/>
          <w:kern w:val="2"/>
          <w:sz w:val="32"/>
          <w:szCs w:val="32"/>
          <w:highlight w:val="none"/>
          <w:lang w:val="en-US" w:eastAsia="zh-CN"/>
        </w:rPr>
        <w:t>六、存量站点整治与关停清理</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坚持疏堵结合、分类处置，对存量站点逐一排查建档，按照下列情形依法整治：</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（一）未取得营业执照擅自经营的，依据《无证无照经营查处办法》责令停止经营，可查封、扣押相关场所、工具、设备和物品，没收违法所得并处1万元以下罚款。（市市场监管局）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（二）租用宅基地从事回收活动的，依据《土地管理法》责令限期改正、恢复土地用途，没收违法所得并处罚款。（市自然资源局）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（三）租用未经批准临时建筑物的，依据《城乡规划法》责令限期拆除，可并处临时建设工程造价一倍以下罚款。（市自然资源局、市城市管理和综合执法局）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（四）储存、经营易燃易爆危险品（废电池、废电子电器、废纸、废泡沫、废纺织品等）的站点与居住场所设置在同一建筑物内，或者未与居住场所保持安全距离的，依据《消防法》《</w:t>
      </w:r>
      <w:r>
        <w:rPr>
          <w:rFonts w:hint="eastAsia" w:cs="仿宋_GB2312"/>
          <w:color w:val="auto"/>
          <w:kern w:val="2"/>
          <w:sz w:val="32"/>
          <w:szCs w:val="32"/>
          <w:highlight w:val="none"/>
          <w:lang w:val="en-US" w:eastAsia="zh-CN"/>
        </w:rPr>
        <w:t>中华人民共和国安全生产法</w:t>
      </w:r>
      <w:r>
        <w:rPr>
          <w:rFonts w:hint="eastAsia" w:ascii="仿宋_GB2312" w:hAnsi="仿宋_GB2312" w:eastAsia="仿宋_GB2312" w:cs="仿宋_GB2312"/>
          <w:color w:val="auto"/>
          <w:kern w:val="2"/>
          <w:sz w:val="32"/>
          <w:szCs w:val="32"/>
          <w:highlight w:val="none"/>
          <w:lang w:val="en-US" w:eastAsia="zh-CN"/>
        </w:rPr>
        <w:t>》责令停产停业并处罚款；逾期未改正的，责令停产停业整顿。（</w:t>
      </w:r>
      <w:r>
        <w:rPr>
          <w:rFonts w:hint="eastAsia" w:cs="仿宋_GB2312"/>
          <w:color w:val="auto"/>
          <w:kern w:val="2"/>
          <w:sz w:val="32"/>
          <w:szCs w:val="32"/>
          <w:highlight w:val="none"/>
          <w:lang w:val="en-US" w:eastAsia="zh-CN"/>
        </w:rPr>
        <w:t>市消防救援局</w:t>
      </w:r>
      <w:r>
        <w:rPr>
          <w:rFonts w:hint="eastAsia" w:ascii="仿宋_GB2312" w:hAnsi="仿宋_GB2312" w:eastAsia="仿宋_GB2312" w:cs="仿宋_GB2312"/>
          <w:color w:val="auto"/>
          <w:kern w:val="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（五）储存、经营其他物品（废塑料等可燃物）的站点与居住场所设置在同一建筑物内，不符合国家工程建设消防技术标准的，依法责令停产停业并处罚款。（市消防救援局）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（六）不具备废弃电器电子产品处理资格擅自拆解处理废旧家电的，依据《废弃电器电子产品回收处理管理条例》责令停业、关闭，没收违法所得，并处5万元以上50万元以下罚款。（江门市生态环境局开平分局）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（七）未取得危险废物经营许可证从事废危化品及危险废物（废油墨桶、废铅蓄电池、镍镉电池、空气清新剂、喷漆罐、防锈剂罐等）回收业务且无法整改的，</w:t>
      </w:r>
      <w:r>
        <w:rPr>
          <w:rFonts w:hint="eastAsia" w:ascii="Times New Roman" w:hAnsi="Times New Roman" w:eastAsia="仿宋_GB2312" w:cs="仿宋_GB2312"/>
          <w:color w:val="000000"/>
          <w:kern w:val="0"/>
          <w:sz w:val="32"/>
          <w:szCs w:val="32"/>
          <w:highlight w:val="none"/>
          <w:lang w:val="en-US" w:eastAsia="zh-CN" w:bidi="ar-SA"/>
        </w:rPr>
        <w:t>依据《中华人民共和国生态环境法典》责令改正，没收违法所得，对收集、贮存危险废物经营活动并处20万元以上100万元以下的罚款，对利用、处置危险废物经营活动并处100万元以上500万元以下的罚款，并报经批准责令停业或者关闭。</w:t>
      </w:r>
      <w:r>
        <w:rPr>
          <w:rFonts w:hint="eastAsia" w:ascii="仿宋_GB2312" w:hAnsi="仿宋_GB2312" w:eastAsia="仿宋_GB2312" w:cs="仿宋_GB2312"/>
          <w:color w:val="auto"/>
          <w:kern w:val="2"/>
          <w:sz w:val="32"/>
          <w:szCs w:val="32"/>
          <w:highlight w:val="none"/>
          <w:lang w:val="en-US" w:eastAsia="zh-CN"/>
        </w:rPr>
        <w:t>（江门市生态环境局开平分局）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（八）</w:t>
      </w:r>
      <w:r>
        <w:rPr>
          <w:rFonts w:hint="eastAsia" w:cs="仿宋_GB2312"/>
          <w:color w:val="auto"/>
          <w:kern w:val="2"/>
          <w:sz w:val="32"/>
          <w:szCs w:val="32"/>
          <w:highlight w:val="none"/>
          <w:lang w:val="en-US" w:eastAsia="zh-CN"/>
        </w:rPr>
        <w:t>经营者擅自</w:t>
      </w:r>
      <w:r>
        <w:rPr>
          <w:rFonts w:hint="eastAsia" w:ascii="仿宋_GB2312" w:hAnsi="仿宋_GB2312" w:eastAsia="仿宋_GB2312" w:cs="仿宋_GB2312"/>
          <w:color w:val="auto"/>
          <w:kern w:val="2"/>
          <w:sz w:val="32"/>
          <w:szCs w:val="32"/>
          <w:highlight w:val="none"/>
          <w:lang w:val="en-US" w:eastAsia="zh-CN"/>
        </w:rPr>
        <w:t>超出门、窗</w:t>
      </w:r>
      <w:r>
        <w:rPr>
          <w:rFonts w:hint="eastAsia" w:cs="仿宋_GB2312"/>
          <w:color w:val="auto"/>
          <w:kern w:val="2"/>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zh-CN"/>
        </w:rPr>
        <w:t>外墙</w:t>
      </w:r>
      <w:r>
        <w:rPr>
          <w:rFonts w:hint="eastAsia" w:ascii="仿宋_GB2312" w:hAnsi="仿宋_GB2312" w:eastAsia="仿宋_GB2312" w:cs="仿宋_GB2312"/>
          <w:color w:val="auto"/>
          <w:kern w:val="2"/>
          <w:sz w:val="32"/>
          <w:szCs w:val="32"/>
          <w:highlight w:val="none"/>
          <w:lang w:val="en-US" w:eastAsia="zh-CN" w:bidi="ar-SA"/>
        </w:rPr>
        <w:t>进行店外经营、作业或者摆设商品、桌椅、广告牌等物品的</w:t>
      </w:r>
      <w:r>
        <w:rPr>
          <w:rFonts w:hint="eastAsia" w:ascii="仿宋_GB2312" w:hAnsi="仿宋_GB2312" w:eastAsia="仿宋_GB2312" w:cs="仿宋_GB2312"/>
          <w:color w:val="auto"/>
          <w:kern w:val="2"/>
          <w:sz w:val="32"/>
          <w:szCs w:val="32"/>
          <w:highlight w:val="none"/>
          <w:lang w:val="en-US" w:eastAsia="zh-CN"/>
        </w:rPr>
        <w:t>，依据《城市市容和环境卫生管理条例》《江门市城市市容和环境卫生管理条例》责令限期改正，可并处罚款。（市城市管理和综合执法局）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（九）违法开设在电力线路保护区内的，依据《电力设施保护条例》责令停止作业、恢复原状并赔偿损失。（开平供电局）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（十）违法开设在公路建筑控制区、铁路线路安全保护区内的，依据《</w:t>
      </w:r>
      <w:r>
        <w:rPr>
          <w:rFonts w:hint="eastAsia" w:cs="仿宋_GB2312"/>
          <w:color w:val="auto"/>
          <w:kern w:val="2"/>
          <w:sz w:val="32"/>
          <w:szCs w:val="32"/>
          <w:highlight w:val="none"/>
          <w:lang w:val="en-US" w:eastAsia="zh-CN"/>
        </w:rPr>
        <w:t>中华人民共和国公路法</w:t>
      </w:r>
      <w:r>
        <w:rPr>
          <w:rFonts w:hint="eastAsia" w:ascii="仿宋_GB2312" w:hAnsi="仿宋_GB2312" w:eastAsia="仿宋_GB2312" w:cs="仿宋_GB2312"/>
          <w:color w:val="auto"/>
          <w:kern w:val="2"/>
          <w:sz w:val="32"/>
          <w:szCs w:val="32"/>
          <w:highlight w:val="none"/>
          <w:lang w:val="en-US" w:eastAsia="zh-CN"/>
        </w:rPr>
        <w:t>》《铁路安全管理条例》责令限期拆除、责令改正并处罚款。（市交通运输局）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rPr>
      </w:pPr>
      <w:r>
        <w:rPr>
          <w:rFonts w:hint="eastAsia" w:ascii="黑体" w:hAnsi="黑体" w:eastAsia="黑体" w:cs="黑体"/>
          <w:color w:val="auto"/>
          <w:kern w:val="2"/>
          <w:sz w:val="32"/>
          <w:szCs w:val="32"/>
          <w:highlight w:val="none"/>
          <w:lang w:val="en-US" w:eastAsia="zh-CN"/>
        </w:rPr>
        <w:t>七、工作要求</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（一）科学规划，严格总量管控</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各镇（街）对照本方案，结合辖区村（社区）、人口、用地现状，编制本镇（街）再生资源回收布点清单，明确交投点、中转站规划数量、拟选集中发展区、限制/禁止发展区边界。</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楷体" w:hAnsi="楷体" w:eastAsia="楷体" w:cs="楷体"/>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（二）部门协同，镇街配合联动</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建立联合执法机制，实现信息共享、线索移送、处置反馈闭环管理。</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（三）疏堵结合，引导产业集聚</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盘活闲置厂房、产业园用地，完善水、电、排污基础设施，打造集中发展回收园区；引导清理搬迁站点进集中发展区经营，做好政策宣传。</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（四）强化安全环保，提升标准化水平</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推动站点安装视频监控、消防报警设施，落实地面硬化、防渗防雨</w:t>
      </w:r>
      <w:r>
        <w:rPr>
          <w:rFonts w:hint="eastAsia" w:cs="仿宋_GB2312"/>
          <w:color w:val="auto"/>
          <w:kern w:val="2"/>
          <w:sz w:val="32"/>
          <w:szCs w:val="32"/>
          <w:highlight w:val="none"/>
          <w:lang w:val="en-US" w:eastAsia="zh-CN"/>
        </w:rPr>
        <w:t>措施；</w:t>
      </w:r>
      <w:r>
        <w:rPr>
          <w:rFonts w:hint="eastAsia" w:ascii="仿宋_GB2312" w:hAnsi="仿宋_GB2312" w:eastAsia="仿宋_GB2312" w:cs="仿宋_GB2312"/>
          <w:color w:val="auto"/>
          <w:kern w:val="2"/>
          <w:sz w:val="32"/>
          <w:szCs w:val="32"/>
          <w:highlight w:val="none"/>
          <w:lang w:val="en-US" w:eastAsia="zh-CN"/>
        </w:rPr>
        <w:t>规范台账管理；组织从业人员</w:t>
      </w:r>
      <w:r>
        <w:rPr>
          <w:rFonts w:hint="eastAsia" w:cs="仿宋_GB2312"/>
          <w:color w:val="auto"/>
          <w:kern w:val="2"/>
          <w:sz w:val="32"/>
          <w:szCs w:val="32"/>
          <w:highlight w:val="none"/>
          <w:lang w:val="en-US" w:eastAsia="zh-CN"/>
        </w:rPr>
        <w:t>开展常态</w:t>
      </w:r>
      <w:r>
        <w:rPr>
          <w:rFonts w:hint="eastAsia" w:ascii="仿宋_GB2312" w:hAnsi="仿宋_GB2312" w:eastAsia="仿宋_GB2312" w:cs="仿宋_GB2312"/>
          <w:color w:val="auto"/>
          <w:kern w:val="2"/>
          <w:sz w:val="32"/>
          <w:szCs w:val="32"/>
          <w:highlight w:val="none"/>
          <w:lang w:val="en-US" w:eastAsia="zh-CN"/>
        </w:rPr>
        <w:t>化业务、安全培训，提升行业整体规范化水平。</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楷体" w:hAnsi="楷体" w:eastAsia="楷体" w:cs="楷体"/>
          <w:color w:val="auto"/>
          <w:kern w:val="2"/>
          <w:sz w:val="32"/>
          <w:szCs w:val="32"/>
          <w:highlight w:val="none"/>
          <w:lang w:val="en-US" w:eastAsia="zh-CN"/>
        </w:rPr>
      </w:pPr>
      <w:r>
        <w:rPr>
          <w:rFonts w:hint="eastAsia" w:ascii="楷体" w:hAnsi="楷体" w:eastAsia="楷体" w:cs="楷体"/>
          <w:color w:val="auto"/>
          <w:kern w:val="2"/>
          <w:sz w:val="32"/>
          <w:szCs w:val="32"/>
          <w:highlight w:val="none"/>
          <w:lang w:val="en-US" w:eastAsia="zh-CN"/>
        </w:rPr>
        <w:t>（五）建立动态修订机制</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本方案实施过程中，若国土空间规划、禁建区域、上级政策发生重大调整，可适时修订布点控制数量和管控要求。</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rPr>
      </w:pPr>
      <w:r>
        <w:rPr>
          <w:rFonts w:hint="eastAsia" w:ascii="黑体" w:hAnsi="黑体" w:eastAsia="黑体" w:cs="黑体"/>
          <w:color w:val="auto"/>
          <w:kern w:val="2"/>
          <w:sz w:val="32"/>
          <w:szCs w:val="32"/>
          <w:highlight w:val="none"/>
          <w:lang w:val="en-US" w:eastAsia="zh-CN"/>
        </w:rPr>
        <w:t>八、附则</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本方案所引法律法规、标准规范如有修订，从其最新规定。本方案由开平市科工商务局会同相关职能部门解释，自印发之日起实施，有效期5年。</w:t>
      </w:r>
    </w:p>
    <w:sectPr>
      <w:footerReference r:id="rId5" w:type="default"/>
      <w:pgSz w:w="12240" w:h="15840"/>
      <w:pgMar w:top="2098" w:right="1474" w:bottom="1417" w:left="158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panose1 w:val="02060409020205020404"/>
    <w:charset w:val="00"/>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4ODNiNjMwZjEyNDNhNmMwZWNjNDA1MDA2ZjhiNjMifQ=="/>
  </w:docVars>
  <w:rsids>
    <w:rsidRoot w:val="00B47730"/>
    <w:rsid w:val="00034616"/>
    <w:rsid w:val="0006063C"/>
    <w:rsid w:val="0015074B"/>
    <w:rsid w:val="0029639D"/>
    <w:rsid w:val="00326F90"/>
    <w:rsid w:val="00AA1D8D"/>
    <w:rsid w:val="00B47730"/>
    <w:rsid w:val="00CB0664"/>
    <w:rsid w:val="00FC693F"/>
    <w:rsid w:val="02347ABC"/>
    <w:rsid w:val="026E28E4"/>
    <w:rsid w:val="07BF340F"/>
    <w:rsid w:val="0E9E526A"/>
    <w:rsid w:val="15AF69CB"/>
    <w:rsid w:val="182C2DE0"/>
    <w:rsid w:val="18356139"/>
    <w:rsid w:val="1A6D291A"/>
    <w:rsid w:val="1BDC62BA"/>
    <w:rsid w:val="1E2C687F"/>
    <w:rsid w:val="1ECE4F7E"/>
    <w:rsid w:val="22242504"/>
    <w:rsid w:val="23B5091E"/>
    <w:rsid w:val="240F6A6B"/>
    <w:rsid w:val="27A976C9"/>
    <w:rsid w:val="2A830A4B"/>
    <w:rsid w:val="2B23067B"/>
    <w:rsid w:val="2DE40C01"/>
    <w:rsid w:val="31C11A07"/>
    <w:rsid w:val="36E9763F"/>
    <w:rsid w:val="386A4094"/>
    <w:rsid w:val="388A5548"/>
    <w:rsid w:val="39307EB9"/>
    <w:rsid w:val="39D51FF5"/>
    <w:rsid w:val="40AB3370"/>
    <w:rsid w:val="44392E5E"/>
    <w:rsid w:val="465076A7"/>
    <w:rsid w:val="49D84EFD"/>
    <w:rsid w:val="54162822"/>
    <w:rsid w:val="5AB171BB"/>
    <w:rsid w:val="5AF75321"/>
    <w:rsid w:val="5DF41277"/>
    <w:rsid w:val="666E2AF9"/>
    <w:rsid w:val="66C54181"/>
    <w:rsid w:val="675678D4"/>
    <w:rsid w:val="6B8C067C"/>
    <w:rsid w:val="6C8B51FF"/>
    <w:rsid w:val="6F93053D"/>
    <w:rsid w:val="6F9C0894"/>
    <w:rsid w:val="72D924A6"/>
    <w:rsid w:val="74B16EF5"/>
    <w:rsid w:val="75822B7C"/>
    <w:rsid w:val="761C2572"/>
    <w:rsid w:val="76D12183"/>
    <w:rsid w:val="776161CB"/>
    <w:rsid w:val="778939A2"/>
    <w:rsid w:val="785C146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00" w:line="276" w:lineRule="auto"/>
    </w:pPr>
    <w:rPr>
      <w:rFonts w:ascii="仿宋_GB2312" w:hAnsi="仿宋_GB2312" w:eastAsia="仿宋_GB2312" w:cstheme="minorBidi"/>
      <w:sz w:val="24"/>
      <w:szCs w:val="22"/>
      <w:lang w:val="en-US" w:eastAsia="en-US" w:bidi="ar-SA"/>
    </w:rPr>
  </w:style>
  <w:style w:type="paragraph" w:styleId="3">
    <w:name w:val="heading 1"/>
    <w:basedOn w:val="1"/>
    <w:next w:val="1"/>
    <w:link w:val="138"/>
    <w:autoRedefine/>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autoRedefine/>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autoRedefine/>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autoRedefine/>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autoRedefine/>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autoRedefine/>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autoRedefine/>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autoRedefine/>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autoRedefine/>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autoRedefine/>
    <w:semiHidden/>
    <w:unhideWhenUsed/>
    <w:qFormat/>
    <w:uiPriority w:val="1"/>
  </w:style>
  <w:style w:type="table" w:default="1" w:styleId="32">
    <w:name w:val="Normal Table"/>
    <w:autoRedefine/>
    <w:semiHidden/>
    <w:unhideWhenUsed/>
    <w:qFormat/>
    <w:uiPriority w:val="99"/>
    <w:tblPr>
      <w:tblCellMar>
        <w:top w:w="0" w:type="dxa"/>
        <w:left w:w="108" w:type="dxa"/>
        <w:bottom w:w="0" w:type="dxa"/>
        <w:right w:w="108" w:type="dxa"/>
      </w:tblCellMar>
    </w:tblPr>
  </w:style>
  <w:style w:type="paragraph" w:styleId="2">
    <w:name w:val="macro"/>
    <w:link w:val="147"/>
    <w:autoRedefine/>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autoRedefine/>
    <w:unhideWhenUsed/>
    <w:qFormat/>
    <w:uiPriority w:val="99"/>
    <w:pPr>
      <w:ind w:left="1080" w:hanging="360"/>
      <w:contextualSpacing/>
    </w:pPr>
  </w:style>
  <w:style w:type="paragraph" w:styleId="13">
    <w:name w:val="List Number 2"/>
    <w:basedOn w:val="1"/>
    <w:autoRedefine/>
    <w:unhideWhenUsed/>
    <w:qFormat/>
    <w:uiPriority w:val="99"/>
    <w:pPr>
      <w:numPr>
        <w:ilvl w:val="0"/>
        <w:numId w:val="1"/>
      </w:numPr>
      <w:contextualSpacing/>
    </w:pPr>
  </w:style>
  <w:style w:type="paragraph" w:styleId="14">
    <w:name w:val="List Number"/>
    <w:basedOn w:val="1"/>
    <w:autoRedefine/>
    <w:unhideWhenUsed/>
    <w:qFormat/>
    <w:uiPriority w:val="99"/>
    <w:pPr>
      <w:numPr>
        <w:ilvl w:val="0"/>
        <w:numId w:val="2"/>
      </w:numPr>
      <w:contextualSpacing/>
    </w:pPr>
  </w:style>
  <w:style w:type="paragraph" w:styleId="15">
    <w:name w:val="caption"/>
    <w:basedOn w:val="1"/>
    <w:next w:val="1"/>
    <w:autoRedefine/>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autoRedefine/>
    <w:unhideWhenUsed/>
    <w:qFormat/>
    <w:uiPriority w:val="99"/>
    <w:pPr>
      <w:numPr>
        <w:ilvl w:val="0"/>
        <w:numId w:val="3"/>
      </w:numPr>
      <w:contextualSpacing/>
    </w:pPr>
  </w:style>
  <w:style w:type="paragraph" w:styleId="17">
    <w:name w:val="Body Text 3"/>
    <w:basedOn w:val="1"/>
    <w:link w:val="146"/>
    <w:autoRedefine/>
    <w:unhideWhenUsed/>
    <w:qFormat/>
    <w:uiPriority w:val="99"/>
    <w:pPr>
      <w:spacing w:after="120"/>
    </w:pPr>
    <w:rPr>
      <w:sz w:val="16"/>
      <w:szCs w:val="16"/>
    </w:rPr>
  </w:style>
  <w:style w:type="paragraph" w:styleId="18">
    <w:name w:val="List Bullet 3"/>
    <w:basedOn w:val="1"/>
    <w:autoRedefine/>
    <w:unhideWhenUsed/>
    <w:qFormat/>
    <w:uiPriority w:val="99"/>
    <w:pPr>
      <w:numPr>
        <w:ilvl w:val="0"/>
        <w:numId w:val="4"/>
      </w:numPr>
      <w:contextualSpacing/>
    </w:pPr>
  </w:style>
  <w:style w:type="paragraph" w:styleId="19">
    <w:name w:val="Body Text"/>
    <w:basedOn w:val="1"/>
    <w:link w:val="144"/>
    <w:autoRedefine/>
    <w:unhideWhenUsed/>
    <w:qFormat/>
    <w:uiPriority w:val="99"/>
    <w:pPr>
      <w:spacing w:after="120"/>
    </w:pPr>
  </w:style>
  <w:style w:type="paragraph" w:styleId="20">
    <w:name w:val="List Number 3"/>
    <w:basedOn w:val="1"/>
    <w:autoRedefine/>
    <w:unhideWhenUsed/>
    <w:qFormat/>
    <w:uiPriority w:val="99"/>
    <w:pPr>
      <w:numPr>
        <w:ilvl w:val="0"/>
        <w:numId w:val="5"/>
      </w:numPr>
      <w:contextualSpacing/>
    </w:pPr>
  </w:style>
  <w:style w:type="paragraph" w:styleId="21">
    <w:name w:val="List 2"/>
    <w:basedOn w:val="1"/>
    <w:autoRedefine/>
    <w:unhideWhenUsed/>
    <w:qFormat/>
    <w:uiPriority w:val="99"/>
    <w:pPr>
      <w:ind w:left="720" w:hanging="360"/>
      <w:contextualSpacing/>
    </w:pPr>
  </w:style>
  <w:style w:type="paragraph" w:styleId="22">
    <w:name w:val="List Continue"/>
    <w:basedOn w:val="1"/>
    <w:autoRedefine/>
    <w:unhideWhenUsed/>
    <w:qFormat/>
    <w:uiPriority w:val="99"/>
    <w:pPr>
      <w:spacing w:after="120"/>
      <w:ind w:left="360"/>
      <w:contextualSpacing/>
    </w:pPr>
  </w:style>
  <w:style w:type="paragraph" w:styleId="23">
    <w:name w:val="List Bullet 2"/>
    <w:basedOn w:val="1"/>
    <w:autoRedefine/>
    <w:unhideWhenUsed/>
    <w:qFormat/>
    <w:uiPriority w:val="99"/>
    <w:pPr>
      <w:numPr>
        <w:ilvl w:val="0"/>
        <w:numId w:val="6"/>
      </w:numPr>
      <w:contextualSpacing/>
    </w:pPr>
  </w:style>
  <w:style w:type="paragraph" w:styleId="24">
    <w:name w:val="footer"/>
    <w:basedOn w:val="1"/>
    <w:link w:val="136"/>
    <w:autoRedefine/>
    <w:unhideWhenUsed/>
    <w:qFormat/>
    <w:uiPriority w:val="99"/>
    <w:pPr>
      <w:tabs>
        <w:tab w:val="center" w:pos="4680"/>
        <w:tab w:val="right" w:pos="9360"/>
      </w:tabs>
      <w:spacing w:after="0" w:line="240" w:lineRule="auto"/>
    </w:pPr>
  </w:style>
  <w:style w:type="paragraph" w:styleId="25">
    <w:name w:val="header"/>
    <w:basedOn w:val="1"/>
    <w:link w:val="135"/>
    <w:autoRedefine/>
    <w:unhideWhenUsed/>
    <w:qFormat/>
    <w:uiPriority w:val="99"/>
    <w:pPr>
      <w:tabs>
        <w:tab w:val="center" w:pos="4680"/>
        <w:tab w:val="right" w:pos="9360"/>
      </w:tabs>
      <w:spacing w:after="0" w:line="240" w:lineRule="auto"/>
    </w:pPr>
  </w:style>
  <w:style w:type="paragraph" w:styleId="26">
    <w:name w:val="Subtitle"/>
    <w:basedOn w:val="1"/>
    <w:next w:val="1"/>
    <w:link w:val="142"/>
    <w:autoRedefine/>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autoRedefine/>
    <w:unhideWhenUsed/>
    <w:qFormat/>
    <w:uiPriority w:val="99"/>
    <w:pPr>
      <w:ind w:left="360" w:hanging="360"/>
      <w:contextualSpacing/>
    </w:pPr>
  </w:style>
  <w:style w:type="paragraph" w:styleId="28">
    <w:name w:val="Body Text 2"/>
    <w:basedOn w:val="1"/>
    <w:link w:val="145"/>
    <w:autoRedefine/>
    <w:unhideWhenUsed/>
    <w:qFormat/>
    <w:uiPriority w:val="99"/>
    <w:pPr>
      <w:spacing w:after="120" w:line="480" w:lineRule="auto"/>
    </w:pPr>
  </w:style>
  <w:style w:type="paragraph" w:styleId="29">
    <w:name w:val="List Continue 2"/>
    <w:basedOn w:val="1"/>
    <w:autoRedefine/>
    <w:unhideWhenUsed/>
    <w:qFormat/>
    <w:uiPriority w:val="99"/>
    <w:pPr>
      <w:spacing w:after="120"/>
      <w:ind w:left="720"/>
      <w:contextualSpacing/>
    </w:pPr>
  </w:style>
  <w:style w:type="paragraph" w:styleId="30">
    <w:name w:val="List Continue 3"/>
    <w:basedOn w:val="1"/>
    <w:autoRedefine/>
    <w:unhideWhenUsed/>
    <w:qFormat/>
    <w:uiPriority w:val="99"/>
    <w:pPr>
      <w:spacing w:after="120"/>
      <w:ind w:left="1080"/>
      <w:contextualSpacing/>
    </w:pPr>
  </w:style>
  <w:style w:type="paragraph" w:styleId="31">
    <w:name w:val="Title"/>
    <w:basedOn w:val="1"/>
    <w:next w:val="1"/>
    <w:link w:val="141"/>
    <w:autoRedefine/>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autoRedefine/>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autoRedefine/>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autoRedefine/>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autoRedefine/>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autoRedefine/>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autoRedefine/>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autoRedefine/>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autoRedefine/>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autoRedefine/>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autoRedefine/>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autoRedefine/>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autoRedefine/>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autoRedefine/>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autoRedefine/>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autoRedefine/>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autoRedefine/>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autoRedefine/>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autoRedefine/>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autoRedefine/>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autoRedefine/>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autoRedefine/>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autoRedefine/>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autoRedefine/>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autoRedefine/>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autoRedefine/>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autoRedefine/>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autoRedefine/>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autoRedefine/>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autoRedefine/>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autoRedefine/>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autoRedefine/>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autoRedefine/>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autoRedefine/>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autoRedefine/>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autoRedefine/>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autoRedefine/>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autoRedefine/>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autoRedefine/>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autoRedefine/>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autoRedefine/>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autoRedefine/>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autoRedefine/>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autoRedefine/>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autoRedefine/>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autoRedefine/>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autoRedefine/>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autoRedefine/>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autoRedefine/>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autoRedefine/>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autoRedefine/>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autoRedefine/>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autoRedefine/>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autoRedefine/>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autoRedefine/>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autoRedefine/>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autoRedefine/>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autoRedefine/>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autoRedefine/>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autoRedefine/>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autoRedefine/>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autoRedefine/>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autoRedefine/>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autoRedefine/>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autoRedefine/>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autoRedefine/>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autoRedefine/>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autoRedefine/>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autoRedefine/>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autoRedefine/>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autoRedefine/>
    <w:qFormat/>
    <w:uiPriority w:val="22"/>
    <w:rPr>
      <w:b/>
      <w:bCs/>
    </w:rPr>
  </w:style>
  <w:style w:type="character" w:styleId="134">
    <w:name w:val="Emphasis"/>
    <w:basedOn w:val="132"/>
    <w:autoRedefine/>
    <w:qFormat/>
    <w:uiPriority w:val="20"/>
    <w:rPr>
      <w:i/>
      <w:iCs/>
    </w:rPr>
  </w:style>
  <w:style w:type="character" w:customStyle="1" w:styleId="135">
    <w:name w:val="Header Char"/>
    <w:basedOn w:val="132"/>
    <w:link w:val="25"/>
    <w:autoRedefine/>
    <w:qFormat/>
    <w:uiPriority w:val="99"/>
  </w:style>
  <w:style w:type="character" w:customStyle="1" w:styleId="136">
    <w:name w:val="Footer Char"/>
    <w:basedOn w:val="132"/>
    <w:link w:val="24"/>
    <w:autoRedefine/>
    <w:qFormat/>
    <w:uiPriority w:val="99"/>
  </w:style>
  <w:style w:type="paragraph" w:styleId="137">
    <w:name w:val="No Spacing"/>
    <w:autoRedefine/>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autoRedefine/>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autoRedefine/>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autoRedefine/>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autoRedefine/>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autoRedefine/>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autoRedefine/>
    <w:qFormat/>
    <w:uiPriority w:val="34"/>
    <w:pPr>
      <w:ind w:left="720"/>
      <w:contextualSpacing/>
    </w:pPr>
  </w:style>
  <w:style w:type="character" w:customStyle="1" w:styleId="144">
    <w:name w:val="Body Text Char"/>
    <w:basedOn w:val="132"/>
    <w:link w:val="19"/>
    <w:autoRedefine/>
    <w:qFormat/>
    <w:uiPriority w:val="99"/>
  </w:style>
  <w:style w:type="character" w:customStyle="1" w:styleId="145">
    <w:name w:val="Body Text 2 Char"/>
    <w:basedOn w:val="132"/>
    <w:link w:val="28"/>
    <w:autoRedefine/>
    <w:qFormat/>
    <w:uiPriority w:val="99"/>
  </w:style>
  <w:style w:type="character" w:customStyle="1" w:styleId="146">
    <w:name w:val="Body Text 3 Char"/>
    <w:basedOn w:val="132"/>
    <w:link w:val="17"/>
    <w:autoRedefine/>
    <w:qFormat/>
    <w:uiPriority w:val="99"/>
    <w:rPr>
      <w:sz w:val="16"/>
      <w:szCs w:val="16"/>
    </w:rPr>
  </w:style>
  <w:style w:type="character" w:customStyle="1" w:styleId="147">
    <w:name w:val="Macro Text Char"/>
    <w:basedOn w:val="132"/>
    <w:link w:val="2"/>
    <w:autoRedefine/>
    <w:qFormat/>
    <w:uiPriority w:val="99"/>
    <w:rPr>
      <w:rFonts w:ascii="Courier" w:hAnsi="Courier"/>
      <w:sz w:val="20"/>
      <w:szCs w:val="20"/>
    </w:rPr>
  </w:style>
  <w:style w:type="paragraph" w:styleId="148">
    <w:name w:val="Quote"/>
    <w:basedOn w:val="1"/>
    <w:next w:val="1"/>
    <w:link w:val="149"/>
    <w:autoRedefine/>
    <w:qFormat/>
    <w:uiPriority w:val="29"/>
    <w:rPr>
      <w:i/>
      <w:iCs/>
      <w:color w:val="000000" w:themeColor="text1"/>
      <w14:textFill>
        <w14:solidFill>
          <w14:schemeClr w14:val="tx1"/>
        </w14:solidFill>
      </w14:textFill>
    </w:rPr>
  </w:style>
  <w:style w:type="character" w:customStyle="1" w:styleId="149">
    <w:name w:val="Quote Char"/>
    <w:basedOn w:val="132"/>
    <w:link w:val="148"/>
    <w:autoRedefine/>
    <w:qFormat/>
    <w:uiPriority w:val="29"/>
    <w:rPr>
      <w:i/>
      <w:iCs/>
      <w:color w:val="000000" w:themeColor="text1"/>
      <w14:textFill>
        <w14:solidFill>
          <w14:schemeClr w14:val="tx1"/>
        </w14:solidFill>
      </w14:textFill>
    </w:rPr>
  </w:style>
  <w:style w:type="character" w:customStyle="1" w:styleId="150">
    <w:name w:val="Heading 4 Char"/>
    <w:basedOn w:val="132"/>
    <w:link w:val="6"/>
    <w:autoRedefine/>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autoRedefine/>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autoRedefine/>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autoRedefine/>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autoRedefine/>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autoRedefine/>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autoRedefine/>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autoRedefine/>
    <w:qFormat/>
    <w:uiPriority w:val="30"/>
    <w:rPr>
      <w:b/>
      <w:bCs/>
      <w:i/>
      <w:iCs/>
      <w:color w:val="4F81BD" w:themeColor="accent1"/>
      <w14:textFill>
        <w14:solidFill>
          <w14:schemeClr w14:val="accent1"/>
        </w14:solidFill>
      </w14:textFill>
    </w:rPr>
  </w:style>
  <w:style w:type="character" w:customStyle="1" w:styleId="158">
    <w:name w:val="Subtle Emphasis"/>
    <w:basedOn w:val="13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autoRedefine/>
    <w:qFormat/>
    <w:uiPriority w:val="21"/>
    <w:rPr>
      <w:b/>
      <w:bCs/>
      <w:i/>
      <w:iCs/>
      <w:color w:val="4F81BD" w:themeColor="accent1"/>
      <w14:textFill>
        <w14:solidFill>
          <w14:schemeClr w14:val="accent1"/>
        </w14:solidFill>
      </w14:textFill>
    </w:rPr>
  </w:style>
  <w:style w:type="character" w:customStyle="1" w:styleId="160">
    <w:name w:val="Subtle Reference"/>
    <w:basedOn w:val="132"/>
    <w:autoRedefine/>
    <w:qFormat/>
    <w:uiPriority w:val="31"/>
    <w:rPr>
      <w:smallCaps/>
      <w:color w:val="C0504D" w:themeColor="accent2"/>
      <w:u w:val="single"/>
      <w14:textFill>
        <w14:solidFill>
          <w14:schemeClr w14:val="accent2"/>
        </w14:solidFill>
      </w14:textFill>
    </w:rPr>
  </w:style>
  <w:style w:type="character" w:customStyle="1" w:styleId="161">
    <w:name w:val="Intense Reference"/>
    <w:basedOn w:val="132"/>
    <w:autoRedefine/>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autoRedefine/>
    <w:qFormat/>
    <w:uiPriority w:val="33"/>
    <w:rPr>
      <w:b/>
      <w:bCs/>
      <w:smallCaps/>
      <w:spacing w:val="5"/>
    </w:rPr>
  </w:style>
  <w:style w:type="paragraph" w:customStyle="1" w:styleId="163">
    <w:name w:val="TOC Heading"/>
    <w:basedOn w:val="3"/>
    <w:next w:val="1"/>
    <w:autoRedefine/>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5962</Words>
  <Characters>6174</Characters>
  <Lines>0</Lines>
  <Paragraphs>0</Paragraphs>
  <TotalTime>3</TotalTime>
  <ScaleCrop>false</ScaleCrop>
  <LinksUpToDate>false</LinksUpToDate>
  <CharactersWithSpaces>6184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邝颖瑜</cp:lastModifiedBy>
  <dcterms:modified xsi:type="dcterms:W3CDTF">2026-10-30T02:51:05Z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CBEFE4246C584B9D8E339256A19AD05F_12</vt:lpwstr>
  </property>
  <property fmtid="{D5CDD505-2E9C-101B-9397-08002B2CF9AE}" pid="4" name="KSOTemplateDocerSaveRecord">
    <vt:lpwstr>eyJoZGlkIjoiYTUyYmJiYTNhZDc3NTMwZmUxOTAyY2E5NTlhNjlhNGQiLCJ1c2VySWQiOiIzMDc1MzY2NDkifQ==</vt:lpwstr>
  </property>
</Properties>
</file>