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EB9E49">
      <w:pPr>
        <w:widowControl/>
        <w:spacing w:line="580" w:lineRule="exact"/>
        <w:jc w:val="center"/>
        <w:rPr>
          <w:rFonts w:hint="default" w:ascii="Times New Roman" w:hAnsi="Times New Roman" w:eastAsia="方正小标宋简体" w:cs="Times New Roman"/>
          <w:color w:val="auto"/>
          <w:sz w:val="44"/>
          <w:szCs w:val="44"/>
        </w:rPr>
      </w:pPr>
      <w:r>
        <w:rPr>
          <w:rFonts w:hint="default" w:ascii="Times New Roman" w:hAnsi="Times New Roman" w:eastAsia="方正小标宋简体" w:cs="Times New Roman"/>
          <w:color w:val="auto"/>
          <w:sz w:val="44"/>
          <w:szCs w:val="44"/>
        </w:rPr>
        <w:t>关于加强房屋市政领域工程招标代理</w:t>
      </w:r>
    </w:p>
    <w:p w14:paraId="16FC1C93">
      <w:pPr>
        <w:widowControl/>
        <w:spacing w:line="580" w:lineRule="exact"/>
        <w:jc w:val="center"/>
        <w:rPr>
          <w:rFonts w:hint="default" w:ascii="Times New Roman" w:hAnsi="Times New Roman" w:eastAsia="方正小标宋简体" w:cs="Times New Roman"/>
          <w:color w:val="auto"/>
          <w:sz w:val="44"/>
          <w:szCs w:val="44"/>
        </w:rPr>
      </w:pPr>
      <w:r>
        <w:rPr>
          <w:rFonts w:hint="default" w:ascii="Times New Roman" w:hAnsi="Times New Roman" w:eastAsia="方正小标宋简体" w:cs="Times New Roman"/>
          <w:color w:val="auto"/>
          <w:sz w:val="44"/>
          <w:szCs w:val="44"/>
        </w:rPr>
        <w:t>及造价咨询行业监管工作的通知</w:t>
      </w:r>
    </w:p>
    <w:p w14:paraId="331E89D6">
      <w:pPr>
        <w:widowControl/>
        <w:spacing w:line="580" w:lineRule="exact"/>
        <w:jc w:val="center"/>
        <w:rPr>
          <w:rFonts w:hint="eastAsia" w:ascii="Times New Roman" w:hAnsi="Times New Roman" w:eastAsia="方正小标宋简体" w:cs="Times New Roman"/>
          <w:color w:val="auto"/>
          <w:sz w:val="44"/>
          <w:szCs w:val="44"/>
          <w:lang w:eastAsia="zh-CN"/>
        </w:rPr>
      </w:pPr>
      <w:r>
        <w:rPr>
          <w:rFonts w:hint="eastAsia" w:ascii="Times New Roman" w:hAnsi="Times New Roman" w:eastAsia="方正小标宋简体" w:cs="Times New Roman"/>
          <w:color w:val="auto"/>
          <w:sz w:val="44"/>
          <w:szCs w:val="44"/>
          <w:lang w:eastAsia="zh-CN"/>
        </w:rPr>
        <w:t>（征求意见稿）</w:t>
      </w:r>
    </w:p>
    <w:p w14:paraId="2DD14B0D">
      <w:pPr>
        <w:widowControl/>
        <w:spacing w:line="580" w:lineRule="exact"/>
        <w:jc w:val="left"/>
        <w:rPr>
          <w:rFonts w:hint="default" w:ascii="Times New Roman" w:hAnsi="Times New Roman" w:eastAsia="仿宋_GB2312" w:cs="Times New Roman"/>
          <w:color w:val="auto"/>
          <w:sz w:val="32"/>
          <w:szCs w:val="32"/>
        </w:rPr>
      </w:pPr>
    </w:p>
    <w:p w14:paraId="3814A4EE">
      <w:pPr>
        <w:keepNext w:val="0"/>
        <w:keepLines w:val="0"/>
        <w:pageBreakBefore w:val="0"/>
        <w:widowControl/>
        <w:kinsoku/>
        <w:wordWrap/>
        <w:overflowPunct/>
        <w:topLinePunct w:val="0"/>
        <w:autoSpaceDE/>
        <w:autoSpaceDN/>
        <w:bidi w:val="0"/>
        <w:adjustRightInd/>
        <w:snapToGrid/>
        <w:spacing w:line="640" w:lineRule="exact"/>
        <w:jc w:val="left"/>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各有关工程招标代理及造价咨询企业：</w:t>
      </w:r>
    </w:p>
    <w:p w14:paraId="702C8757">
      <w:pPr>
        <w:keepNext w:val="0"/>
        <w:keepLines w:val="0"/>
        <w:pageBreakBefore w:val="0"/>
        <w:widowControl/>
        <w:kinsoku/>
        <w:wordWrap/>
        <w:overflowPunct/>
        <w:topLinePunct w:val="0"/>
        <w:autoSpaceDE/>
        <w:autoSpaceDN/>
        <w:bidi w:val="0"/>
        <w:adjustRightInd/>
        <w:snapToGrid/>
        <w:spacing w:line="640" w:lineRule="exact"/>
        <w:ind w:firstLine="640" w:firstLineChars="200"/>
        <w:jc w:val="left"/>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工程招标代理及造价咨询服务企业作为工程建设重要实施主体，‌职责十分重大、作用十分突出，为完善工程招标代理及造价咨询市场秩序，规范企业执业行为，根据《中华人民共和国招标投标法》《中华人民共和国招标投标法实施条例》《国务院关于深化“证照分离”改革进一步激发市场主体发展活力的通知》（国发〔2021〕7号）《住房和城乡建设部办公厅关于取消工程造价咨询企业资质审批〉加强事中事后监管的通知》（建办标〔2021〕26号）精神，现就加强房屋市政领域工程招标代理及造价咨询行业监管通知如下：</w:t>
      </w:r>
    </w:p>
    <w:p w14:paraId="497C0850">
      <w:pPr>
        <w:keepNext w:val="0"/>
        <w:keepLines w:val="0"/>
        <w:pageBreakBefore w:val="0"/>
        <w:widowControl/>
        <w:kinsoku/>
        <w:wordWrap/>
        <w:overflowPunct/>
        <w:topLinePunct w:val="0"/>
        <w:autoSpaceDE/>
        <w:autoSpaceDN/>
        <w:bidi w:val="0"/>
        <w:adjustRightInd/>
        <w:snapToGrid/>
        <w:spacing w:line="640" w:lineRule="exact"/>
        <w:ind w:firstLine="640" w:firstLineChars="200"/>
        <w:jc w:val="left"/>
        <w:textAlignment w:val="auto"/>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一、建立市场主体公开制度，推动行业健康发展</w:t>
      </w:r>
    </w:p>
    <w:p w14:paraId="4B004466">
      <w:pPr>
        <w:keepNext w:val="0"/>
        <w:keepLines w:val="0"/>
        <w:pageBreakBefore w:val="0"/>
        <w:widowControl/>
        <w:kinsoku/>
        <w:wordWrap/>
        <w:overflowPunct/>
        <w:topLinePunct w:val="0"/>
        <w:autoSpaceDE/>
        <w:autoSpaceDN/>
        <w:bidi w:val="0"/>
        <w:adjustRightInd/>
        <w:snapToGrid/>
        <w:spacing w:line="640" w:lineRule="exact"/>
        <w:ind w:firstLine="640" w:firstLineChars="200"/>
        <w:jc w:val="left"/>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为进一步完善我市工程招标代理及造价咨询企业信息管理机制，在本行政区域内开展工程招标代理及造价咨询业务的企业，应自主将其基本信息、业绩信息、合同履约信息及人员信息等关键数据，全面、准确地将企业信息上报我局，信息发生变更的，应及时报送变更情况（联系电话：0750-2212287；邮箱：kpjgk@163.com）。由我局动态收集辖区招标代理及造价咨询主体信息并对外发布，为有关部门和建筑市场各方主体提供参考，具体发布政策另行制定。</w:t>
      </w:r>
    </w:p>
    <w:p w14:paraId="6238F3AE">
      <w:pPr>
        <w:keepNext w:val="0"/>
        <w:keepLines w:val="0"/>
        <w:pageBreakBefore w:val="0"/>
        <w:widowControl/>
        <w:kinsoku/>
        <w:wordWrap/>
        <w:overflowPunct/>
        <w:topLinePunct w:val="0"/>
        <w:autoSpaceDE/>
        <w:autoSpaceDN/>
        <w:bidi w:val="0"/>
        <w:adjustRightInd/>
        <w:snapToGrid/>
        <w:spacing w:line="640" w:lineRule="exact"/>
        <w:ind w:firstLine="640" w:firstLineChars="200"/>
        <w:jc w:val="left"/>
        <w:textAlignment w:val="auto"/>
        <w:rPr>
          <w:rFonts w:hint="default" w:ascii="Times New Roman" w:hAnsi="Times New Roman" w:eastAsia="仿宋_GB2312" w:cs="Times New Roman"/>
          <w:color w:val="auto"/>
          <w:sz w:val="32"/>
          <w:szCs w:val="32"/>
        </w:rPr>
      </w:pPr>
      <w:r>
        <w:rPr>
          <w:rFonts w:hint="default" w:ascii="Times New Roman" w:hAnsi="Times New Roman" w:eastAsia="黑体" w:cs="Times New Roman"/>
          <w:color w:val="auto"/>
          <w:sz w:val="32"/>
          <w:szCs w:val="32"/>
        </w:rPr>
        <w:t>二、运用信用管理系统，加强行业诚信管理</w:t>
      </w:r>
    </w:p>
    <w:p w14:paraId="31BD33BA">
      <w:pPr>
        <w:keepNext w:val="0"/>
        <w:keepLines w:val="0"/>
        <w:pageBreakBefore w:val="0"/>
        <w:widowControl/>
        <w:kinsoku/>
        <w:wordWrap/>
        <w:overflowPunct/>
        <w:topLinePunct w:val="0"/>
        <w:autoSpaceDE/>
        <w:autoSpaceDN/>
        <w:bidi w:val="0"/>
        <w:adjustRightInd/>
        <w:snapToGrid/>
        <w:spacing w:line="640" w:lineRule="exact"/>
        <w:ind w:firstLine="640" w:firstLineChars="200"/>
        <w:jc w:val="left"/>
        <w:textAlignment w:val="auto"/>
        <w:rPr>
          <w:rFonts w:hint="eastAsia"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rPr>
        <w:t>充分运用“江门市建筑业企业信用管理信息系统”（以下简称“信息系统”）对在我市从业的工程招标代理及造价咨询企业实施动态信用监管。在信息系统中登记企业信息，经公示无异议的，均可获得初始登记分100分。企业基础信息发生变更的，应在变更后五个工作日内登录信息系统进行更新。信用评价统一按照江门市</w:t>
      </w:r>
      <w:r>
        <w:rPr>
          <w:rFonts w:hint="eastAsia" w:ascii="Times New Roman" w:hAnsi="Times New Roman" w:eastAsia="仿宋_GB2312" w:cs="Times New Roman"/>
          <w:color w:val="auto"/>
          <w:sz w:val="32"/>
          <w:szCs w:val="32"/>
          <w:lang w:eastAsia="zh-CN"/>
        </w:rPr>
        <w:t>有关</w:t>
      </w:r>
      <w:r>
        <w:rPr>
          <w:rFonts w:hint="default" w:ascii="Times New Roman" w:hAnsi="Times New Roman" w:eastAsia="仿宋_GB2312" w:cs="Times New Roman"/>
          <w:color w:val="auto"/>
          <w:sz w:val="32"/>
          <w:szCs w:val="32"/>
        </w:rPr>
        <w:t>建筑业企业信用管理评价标准</w:t>
      </w:r>
      <w:r>
        <w:rPr>
          <w:rFonts w:hint="eastAsia" w:ascii="Times New Roman" w:hAnsi="Times New Roman" w:eastAsia="仿宋_GB2312" w:cs="Times New Roman"/>
          <w:color w:val="auto"/>
          <w:sz w:val="32"/>
          <w:szCs w:val="32"/>
          <w:lang w:eastAsia="zh-CN"/>
        </w:rPr>
        <w:t>工作</w:t>
      </w:r>
      <w:r>
        <w:rPr>
          <w:rFonts w:hint="default" w:ascii="Times New Roman" w:hAnsi="Times New Roman" w:eastAsia="仿宋_GB2312" w:cs="Times New Roman"/>
          <w:color w:val="auto"/>
          <w:sz w:val="32"/>
          <w:szCs w:val="32"/>
        </w:rPr>
        <w:t>要求进行评价，分为A、B、C、D、E级。我局对工程招标代理及造价咨询服务企业所涉及市场行为、档案管理、造价管理以及行政执法等方面进行采集和评价，实施动态管理，对照标准计分进行加扣相应信用评价分值（加扣分均不设限制）。</w:t>
      </w:r>
      <w:r>
        <w:rPr>
          <w:rFonts w:hint="default" w:ascii="Times New Roman" w:hAnsi="Times New Roman" w:eastAsia="仿宋_GB2312" w:cs="Times New Roman"/>
          <w:color w:val="auto"/>
          <w:sz w:val="32"/>
          <w:szCs w:val="32"/>
        </w:rPr>
        <w:t>对评价为E级的企业实施“黑名单”管理，由我局通过省级建筑市场监管一体化工作平台向社会公布相关信息，</w:t>
      </w:r>
      <w:r>
        <w:rPr>
          <w:rFonts w:hint="eastAsia" w:ascii="Times New Roman" w:hAnsi="Times New Roman" w:eastAsia="仿宋_GB2312" w:cs="Times New Roman"/>
          <w:color w:val="auto"/>
          <w:sz w:val="32"/>
          <w:szCs w:val="32"/>
          <w:lang w:eastAsia="zh-CN"/>
        </w:rPr>
        <w:t>并提请省住房城乡建设厅将建筑市场主体“黑名单”推送至全国建筑市场监管公共服务平台，同时将“黑名单”通报有关部门，实施联合惩戒</w:t>
      </w:r>
      <w:r>
        <w:rPr>
          <w:rFonts w:hint="default" w:ascii="Times New Roman" w:hAnsi="Times New Roman" w:eastAsia="仿宋_GB2312" w:cs="Times New Roman"/>
          <w:color w:val="auto"/>
          <w:sz w:val="32"/>
          <w:szCs w:val="32"/>
        </w:rPr>
        <w:t>。</w:t>
      </w:r>
      <w:bookmarkStart w:id="0" w:name="_GoBack"/>
      <w:bookmarkEnd w:id="0"/>
    </w:p>
    <w:p w14:paraId="5E592CDC">
      <w:pPr>
        <w:keepNext w:val="0"/>
        <w:keepLines w:val="0"/>
        <w:pageBreakBefore w:val="0"/>
        <w:widowControl/>
        <w:kinsoku/>
        <w:wordWrap/>
        <w:overflowPunct/>
        <w:topLinePunct w:val="0"/>
        <w:autoSpaceDE/>
        <w:autoSpaceDN/>
        <w:bidi w:val="0"/>
        <w:adjustRightInd/>
        <w:snapToGrid/>
        <w:spacing w:line="640" w:lineRule="exact"/>
        <w:ind w:firstLine="640" w:firstLineChars="200"/>
        <w:jc w:val="left"/>
        <w:textAlignment w:val="auto"/>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三、建立负面清单制度，规范企业经营行为</w:t>
      </w:r>
    </w:p>
    <w:p w14:paraId="364BE815">
      <w:pPr>
        <w:keepNext w:val="0"/>
        <w:keepLines w:val="0"/>
        <w:pageBreakBefore w:val="0"/>
        <w:kinsoku/>
        <w:wordWrap/>
        <w:overflowPunct/>
        <w:topLinePunct w:val="0"/>
        <w:autoSpaceDE/>
        <w:autoSpaceDN/>
        <w:bidi w:val="0"/>
        <w:adjustRightInd/>
        <w:snapToGrid/>
        <w:spacing w:line="64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楷体_GB2312" w:cs="Times New Roman"/>
          <w:color w:val="auto"/>
          <w:sz w:val="32"/>
          <w:szCs w:val="32"/>
        </w:rPr>
        <w:t>（一）建立负面清单制度。</w:t>
      </w:r>
      <w:r>
        <w:rPr>
          <w:rFonts w:hint="default" w:ascii="Times New Roman" w:hAnsi="Times New Roman" w:eastAsia="仿宋_GB2312" w:cs="Times New Roman"/>
          <w:color w:val="auto"/>
          <w:sz w:val="32"/>
          <w:szCs w:val="32"/>
        </w:rPr>
        <w:t>为进一步加强招标代理及造价咨询企业管理，规范建设工程造价咨询执业行为，建立招标代理及造价咨询企业负面清单管理制度。由我局发布“负面清单”内容（附件1、2），招标代理及造价咨询企业或人员当年度内出现1项“负面清单”行为，由通报之日起纳入重点监管3个月；</w:t>
      </w:r>
      <w:r>
        <w:rPr>
          <w:rFonts w:hint="default" w:ascii="Times New Roman" w:hAnsi="Times New Roman" w:eastAsia="仿宋_GB2312" w:cs="Times New Roman"/>
          <w:color w:val="auto"/>
          <w:sz w:val="32"/>
          <w:szCs w:val="32"/>
        </w:rPr>
        <w:t>当年度内出现2项“负面清单”行为，由通报之日起纳入重点监管6个月；当年度内出现3项及以上“负面清单”行为，由通报之日长期纳入重点监管；承揽我市招标代理或造价咨询项目出现违规违法行为被有关单位行政处罚的，由行政处罚之日起长期纳入重点监管。</w:t>
      </w:r>
    </w:p>
    <w:p w14:paraId="7C7707E5">
      <w:pPr>
        <w:keepNext w:val="0"/>
        <w:keepLines w:val="0"/>
        <w:pageBreakBefore w:val="0"/>
        <w:widowControl/>
        <w:kinsoku/>
        <w:wordWrap/>
        <w:overflowPunct/>
        <w:topLinePunct w:val="0"/>
        <w:autoSpaceDE/>
        <w:autoSpaceDN/>
        <w:bidi w:val="0"/>
        <w:adjustRightInd/>
        <w:snapToGrid/>
        <w:spacing w:line="640" w:lineRule="exact"/>
        <w:ind w:firstLine="640" w:firstLineChars="200"/>
        <w:jc w:val="left"/>
        <w:textAlignment w:val="auto"/>
        <w:rPr>
          <w:rFonts w:hint="default" w:ascii="Times New Roman" w:hAnsi="Times New Roman" w:eastAsia="仿宋_GB2312" w:cs="Times New Roman"/>
          <w:color w:val="auto"/>
          <w:sz w:val="32"/>
          <w:szCs w:val="32"/>
        </w:rPr>
      </w:pPr>
      <w:r>
        <w:rPr>
          <w:rFonts w:hint="default" w:ascii="Times New Roman" w:hAnsi="Times New Roman" w:eastAsia="楷体_GB2312" w:cs="Times New Roman"/>
          <w:color w:val="auto"/>
          <w:sz w:val="32"/>
          <w:szCs w:val="32"/>
        </w:rPr>
        <w:t>（二）依法合规承接咨询业务。</w:t>
      </w:r>
      <w:r>
        <w:rPr>
          <w:rFonts w:hint="default" w:ascii="Times New Roman" w:hAnsi="Times New Roman" w:eastAsia="仿宋_GB2312" w:cs="Times New Roman"/>
          <w:color w:val="auto"/>
          <w:sz w:val="32"/>
          <w:szCs w:val="32"/>
        </w:rPr>
        <w:t>招标代理企业应当具备“有能够编制招标文件和组织评标的相应专业力量”，具有有效的营业执照，营业执照经营范围应包含招标代理业务</w:t>
      </w:r>
      <w:r>
        <w:rPr>
          <w:rFonts w:hint="eastAsia" w:ascii="Times New Roman" w:hAnsi="Times New Roman" w:eastAsia="仿宋_GB2312" w:cs="Times New Roman"/>
          <w:color w:val="auto"/>
          <w:sz w:val="32"/>
          <w:szCs w:val="32"/>
          <w:lang w:eastAsia="zh-CN"/>
        </w:rPr>
        <w:t>。</w:t>
      </w:r>
      <w:r>
        <w:rPr>
          <w:rFonts w:hint="eastAsia" w:ascii="Times New Roman" w:hAnsi="Times New Roman" w:eastAsia="仿宋_GB2312" w:cs="Times New Roman"/>
          <w:color w:val="auto"/>
          <w:sz w:val="32"/>
          <w:szCs w:val="32"/>
        </w:rPr>
        <w:t>工程造价咨</w:t>
      </w:r>
      <w:r>
        <w:rPr>
          <w:rFonts w:hint="eastAsia" w:ascii="仿宋_GB2312" w:hAnsi="仿宋_GB2312" w:eastAsia="仿宋_GB2312" w:cs="仿宋_GB2312"/>
          <w:color w:val="auto"/>
          <w:sz w:val="32"/>
          <w:szCs w:val="32"/>
        </w:rPr>
        <w:t>询企业</w:t>
      </w:r>
      <w:r>
        <w:rPr>
          <w:rFonts w:hint="default" w:ascii="Times New Roman" w:hAnsi="Times New Roman" w:eastAsia="仿宋_GB2312" w:cs="Times New Roman"/>
          <w:color w:val="auto"/>
          <w:sz w:val="32"/>
          <w:szCs w:val="32"/>
        </w:rPr>
        <w:t>应严格按照</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中华人民共和国招标投标法</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中华人民共和国招标投标法实施条例</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广东省建设工程造价管理规定</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广东省实施〈中华人民共和国招标投标法〉办法</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住房和城乡建设部关于修改〈工程造价咨询企业管理办法〉〈注册造价工程师管理办法〉的决定》（中华人民共和国住房和城乡建设部令第50号）开展工程造价咨询活动，不得低于生产和经营成本承揽造价咨询业务，不得恶意压低收费进行不正当竞争</w:t>
      </w:r>
      <w:r>
        <w:rPr>
          <w:rFonts w:hint="eastAsia" w:ascii="Times New Roman" w:hAnsi="Times New Roman" w:eastAsia="仿宋_GB2312" w:cs="Times New Roman"/>
          <w:color w:val="auto"/>
          <w:sz w:val="32"/>
          <w:szCs w:val="32"/>
          <w:lang w:eastAsia="zh-CN"/>
        </w:rPr>
        <w:t>，并</w:t>
      </w:r>
      <w:r>
        <w:rPr>
          <w:rFonts w:hint="default" w:ascii="Times New Roman" w:hAnsi="Times New Roman" w:eastAsia="仿宋_GB2312" w:cs="Times New Roman"/>
          <w:color w:val="auto"/>
          <w:sz w:val="32"/>
          <w:szCs w:val="32"/>
        </w:rPr>
        <w:t>应当按照有关规定的要求出具工程造价成果文件</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对违反相关规定，严重扰乱市场秩序等行为，我局将严厉查处并向社会公布。通过政府主导、企业自治、行业自律、社会监督的协同监管，营造我市招标代理及工程造价咨询行业诚实守信的市场环境。</w:t>
      </w:r>
    </w:p>
    <w:p w14:paraId="1B437361">
      <w:pPr>
        <w:keepNext w:val="0"/>
        <w:keepLines w:val="0"/>
        <w:pageBreakBefore w:val="0"/>
        <w:widowControl/>
        <w:kinsoku/>
        <w:wordWrap/>
        <w:overflowPunct/>
        <w:topLinePunct w:val="0"/>
        <w:autoSpaceDE/>
        <w:autoSpaceDN/>
        <w:bidi w:val="0"/>
        <w:adjustRightInd/>
        <w:snapToGrid/>
        <w:spacing w:line="640" w:lineRule="exact"/>
        <w:ind w:firstLine="640" w:firstLineChars="200"/>
        <w:jc w:val="left"/>
        <w:textAlignment w:val="auto"/>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四、规范从业人员行为，严格实行退出机制</w:t>
      </w:r>
    </w:p>
    <w:p w14:paraId="1ED6FDA2">
      <w:pPr>
        <w:keepNext w:val="0"/>
        <w:keepLines w:val="0"/>
        <w:pageBreakBefore w:val="0"/>
        <w:widowControl/>
        <w:kinsoku/>
        <w:wordWrap/>
        <w:overflowPunct/>
        <w:topLinePunct w:val="0"/>
        <w:autoSpaceDE/>
        <w:autoSpaceDN/>
        <w:bidi w:val="0"/>
        <w:adjustRightInd/>
        <w:snapToGrid/>
        <w:spacing w:line="640" w:lineRule="exact"/>
        <w:ind w:firstLine="640" w:firstLineChars="200"/>
        <w:jc w:val="left"/>
        <w:textAlignment w:val="auto"/>
        <w:rPr>
          <w:rFonts w:hint="default" w:ascii="Times New Roman" w:hAnsi="Times New Roman" w:eastAsia="仿宋_GB2312" w:cs="Times New Roman"/>
          <w:color w:val="auto"/>
          <w:sz w:val="32"/>
          <w:szCs w:val="32"/>
        </w:rPr>
      </w:pPr>
      <w:r>
        <w:rPr>
          <w:rFonts w:hint="default" w:ascii="Times New Roman" w:hAnsi="Times New Roman" w:eastAsia="楷体_GB2312" w:cs="Times New Roman"/>
          <w:color w:val="auto"/>
          <w:sz w:val="32"/>
          <w:szCs w:val="32"/>
        </w:rPr>
        <w:t>（一）严格规范执业行为。</w:t>
      </w:r>
      <w:r>
        <w:rPr>
          <w:rFonts w:hint="default" w:ascii="Times New Roman" w:hAnsi="Times New Roman" w:eastAsia="仿宋_GB2312" w:cs="Times New Roman"/>
          <w:color w:val="auto"/>
          <w:sz w:val="32"/>
          <w:szCs w:val="32"/>
        </w:rPr>
        <w:t>招标代理及造价咨询从业人员必须秉持诚信、公正的原则，严格执行国家及行业相关法规、标准与规范。在编制、审核相关文件时，应确保数据的真实性与准确性。我局严肃查处工程造价咨询企业资质“挂靠”、造价工程师违规“挂证”行为，同时对招标代理及造价咨询从业人员弄虚作假、虚报造价、违反相关政策法规等不正当竞争行为的从业人员记入信用档案，情节严重的，由我局提请省住房城乡建设厅吊销从业人员注册执业资格证。</w:t>
      </w:r>
    </w:p>
    <w:p w14:paraId="63DDB5D9">
      <w:pPr>
        <w:keepNext w:val="0"/>
        <w:keepLines w:val="0"/>
        <w:pageBreakBefore w:val="0"/>
        <w:widowControl/>
        <w:kinsoku/>
        <w:wordWrap/>
        <w:overflowPunct/>
        <w:topLinePunct w:val="0"/>
        <w:autoSpaceDE/>
        <w:autoSpaceDN/>
        <w:bidi w:val="0"/>
        <w:adjustRightInd/>
        <w:snapToGrid/>
        <w:spacing w:line="640" w:lineRule="exact"/>
        <w:ind w:firstLine="640" w:firstLineChars="200"/>
        <w:jc w:val="left"/>
        <w:textAlignment w:val="auto"/>
        <w:rPr>
          <w:rFonts w:hint="default" w:ascii="Times New Roman" w:hAnsi="Times New Roman" w:eastAsia="仿宋_GB2312" w:cs="Times New Roman"/>
          <w:color w:val="auto"/>
          <w:sz w:val="32"/>
          <w:szCs w:val="32"/>
        </w:rPr>
      </w:pPr>
      <w:r>
        <w:rPr>
          <w:rFonts w:hint="default" w:ascii="Times New Roman" w:hAnsi="Times New Roman" w:eastAsia="楷体_GB2312" w:cs="Times New Roman"/>
          <w:color w:val="auto"/>
          <w:sz w:val="32"/>
          <w:szCs w:val="32"/>
        </w:rPr>
        <w:t>（二）强化个人责任与职业道德。</w:t>
      </w:r>
      <w:r>
        <w:rPr>
          <w:rFonts w:hint="default" w:ascii="Times New Roman" w:hAnsi="Times New Roman" w:eastAsia="仿宋_GB2312" w:cs="Times New Roman"/>
          <w:color w:val="auto"/>
          <w:sz w:val="32"/>
          <w:szCs w:val="32"/>
        </w:rPr>
        <w:t>招标代理及造价咨询从业人员对其负责的招投标文件或工程造价成果文件承担终身责任，确保文件内容的合法合规性、准确性及完整性。在成果文件上，必须亲自签字并加盖个人执业印章。从业人员应不断提升自身职业道德修养，坚守行业底线，维护招标代理及造价咨询行业的良好形象。</w:t>
      </w:r>
    </w:p>
    <w:p w14:paraId="512DD535">
      <w:pPr>
        <w:keepNext w:val="0"/>
        <w:keepLines w:val="0"/>
        <w:pageBreakBefore w:val="0"/>
        <w:widowControl/>
        <w:kinsoku/>
        <w:wordWrap/>
        <w:overflowPunct/>
        <w:topLinePunct w:val="0"/>
        <w:autoSpaceDE/>
        <w:autoSpaceDN/>
        <w:bidi w:val="0"/>
        <w:adjustRightInd/>
        <w:snapToGrid/>
        <w:spacing w:line="640" w:lineRule="exact"/>
        <w:ind w:firstLine="640" w:firstLineChars="200"/>
        <w:jc w:val="left"/>
        <w:textAlignment w:val="auto"/>
        <w:rPr>
          <w:rFonts w:hint="default" w:ascii="Times New Roman" w:hAnsi="Times New Roman" w:eastAsia="仿宋_GB2312" w:cs="Times New Roman"/>
          <w:color w:val="auto"/>
          <w:sz w:val="32"/>
          <w:szCs w:val="32"/>
        </w:rPr>
      </w:pPr>
      <w:r>
        <w:rPr>
          <w:rFonts w:hint="default" w:ascii="Times New Roman" w:hAnsi="Times New Roman" w:eastAsia="黑体" w:cs="Times New Roman"/>
          <w:color w:val="auto"/>
          <w:sz w:val="32"/>
          <w:szCs w:val="32"/>
        </w:rPr>
        <w:t>五、加强部门联动，大力推进联合监管</w:t>
      </w:r>
    </w:p>
    <w:p w14:paraId="1CB3BED5">
      <w:pPr>
        <w:keepNext w:val="0"/>
        <w:keepLines w:val="0"/>
        <w:pageBreakBefore w:val="0"/>
        <w:widowControl/>
        <w:kinsoku/>
        <w:wordWrap/>
        <w:overflowPunct/>
        <w:topLinePunct w:val="0"/>
        <w:autoSpaceDE/>
        <w:autoSpaceDN/>
        <w:bidi w:val="0"/>
        <w:adjustRightInd/>
        <w:snapToGrid/>
        <w:spacing w:line="640" w:lineRule="exact"/>
        <w:ind w:firstLine="640" w:firstLineChars="200"/>
        <w:jc w:val="left"/>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我局将积极推动建立联动机制，加强与市发展改革局、市财政局、市市场监督管理局、市审计局等部门的联动协作。定期开展工程招标代理及造价咨询企业及从业人员“双随机、一公开”检查，将检查结果公示，对发现的违法违规行为及时移交处理，并推进信息共享和信用监管联动，切实推动提升我市招标代理及造价咨询行业规范化水平。</w:t>
      </w:r>
    </w:p>
    <w:p w14:paraId="315CE82C">
      <w:pPr>
        <w:keepNext w:val="0"/>
        <w:keepLines w:val="0"/>
        <w:pageBreakBefore w:val="0"/>
        <w:widowControl/>
        <w:kinsoku/>
        <w:wordWrap/>
        <w:overflowPunct/>
        <w:topLinePunct w:val="0"/>
        <w:autoSpaceDE/>
        <w:autoSpaceDN/>
        <w:bidi w:val="0"/>
        <w:adjustRightInd/>
        <w:snapToGrid/>
        <w:spacing w:line="640" w:lineRule="exact"/>
        <w:ind w:firstLine="640" w:firstLineChars="200"/>
        <w:jc w:val="left"/>
        <w:textAlignment w:val="auto"/>
        <w:rPr>
          <w:rFonts w:hint="default" w:ascii="Times New Roman" w:hAnsi="Times New Roman" w:eastAsia="仿宋_GB2312" w:cs="Times New Roman"/>
          <w:color w:val="auto"/>
          <w:sz w:val="32"/>
          <w:szCs w:val="32"/>
        </w:rPr>
      </w:pPr>
    </w:p>
    <w:p w14:paraId="5E3C955E">
      <w:pPr>
        <w:keepNext w:val="0"/>
        <w:keepLines w:val="0"/>
        <w:pageBreakBefore w:val="0"/>
        <w:kinsoku/>
        <w:wordWrap/>
        <w:overflowPunct/>
        <w:topLinePunct w:val="0"/>
        <w:autoSpaceDE/>
        <w:autoSpaceDN/>
        <w:bidi w:val="0"/>
        <w:adjustRightInd/>
        <w:snapToGrid/>
        <w:spacing w:line="64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附件：1.招标代理企业负面行为清单</w:t>
      </w:r>
    </w:p>
    <w:p w14:paraId="61ACEE85">
      <w:pPr>
        <w:keepNext w:val="0"/>
        <w:keepLines w:val="0"/>
        <w:pageBreakBefore w:val="0"/>
        <w:kinsoku/>
        <w:wordWrap/>
        <w:overflowPunct/>
        <w:topLinePunct w:val="0"/>
        <w:autoSpaceDE/>
        <w:autoSpaceDN/>
        <w:bidi w:val="0"/>
        <w:adjustRightInd/>
        <w:snapToGrid/>
        <w:spacing w:line="64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 xml:space="preserve">      2.造价咨询服务企业负面行为清单</w:t>
      </w:r>
    </w:p>
    <w:p w14:paraId="68EDAC5E">
      <w:pPr>
        <w:keepNext w:val="0"/>
        <w:keepLines w:val="0"/>
        <w:pageBreakBefore w:val="0"/>
        <w:widowControl/>
        <w:kinsoku/>
        <w:wordWrap/>
        <w:overflowPunct/>
        <w:topLinePunct w:val="0"/>
        <w:autoSpaceDE/>
        <w:autoSpaceDN/>
        <w:bidi w:val="0"/>
        <w:adjustRightInd/>
        <w:snapToGrid/>
        <w:spacing w:line="640" w:lineRule="exact"/>
        <w:jc w:val="left"/>
        <w:textAlignment w:val="auto"/>
        <w:rPr>
          <w:rFonts w:hint="default" w:ascii="Times New Roman" w:hAnsi="Times New Roman" w:eastAsia="仿宋_GB2312" w:cs="Times New Roman"/>
          <w:color w:val="auto"/>
          <w:sz w:val="32"/>
          <w:szCs w:val="32"/>
        </w:rPr>
      </w:pPr>
    </w:p>
    <w:p w14:paraId="6F02E078">
      <w:pPr>
        <w:keepNext w:val="0"/>
        <w:keepLines w:val="0"/>
        <w:pageBreakBefore w:val="0"/>
        <w:widowControl/>
        <w:kinsoku/>
        <w:wordWrap/>
        <w:overflowPunct/>
        <w:topLinePunct w:val="0"/>
        <w:autoSpaceDE/>
        <w:autoSpaceDN/>
        <w:bidi w:val="0"/>
        <w:adjustRightInd/>
        <w:snapToGrid/>
        <w:spacing w:line="640" w:lineRule="exact"/>
        <w:jc w:val="left"/>
        <w:textAlignment w:val="auto"/>
        <w:rPr>
          <w:rFonts w:hint="default" w:ascii="Times New Roman" w:hAnsi="Times New Roman" w:eastAsia="仿宋_GB2312" w:cs="Times New Roman"/>
          <w:color w:val="auto"/>
          <w:sz w:val="32"/>
          <w:szCs w:val="32"/>
        </w:rPr>
      </w:pPr>
    </w:p>
    <w:p w14:paraId="2B2C94BF">
      <w:pPr>
        <w:keepNext w:val="0"/>
        <w:keepLines w:val="0"/>
        <w:pageBreakBefore w:val="0"/>
        <w:widowControl/>
        <w:kinsoku/>
        <w:wordWrap/>
        <w:overflowPunct/>
        <w:topLinePunct w:val="0"/>
        <w:autoSpaceDE/>
        <w:autoSpaceDN/>
        <w:bidi w:val="0"/>
        <w:adjustRightInd/>
        <w:snapToGrid/>
        <w:spacing w:line="640" w:lineRule="exact"/>
        <w:jc w:val="right"/>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开平市住房和城乡建设局</w:t>
      </w:r>
    </w:p>
    <w:p w14:paraId="01FEDB2A">
      <w:pPr>
        <w:keepNext w:val="0"/>
        <w:keepLines w:val="0"/>
        <w:pageBreakBefore w:val="0"/>
        <w:widowControl/>
        <w:kinsoku/>
        <w:wordWrap w:val="0"/>
        <w:overflowPunct/>
        <w:topLinePunct w:val="0"/>
        <w:autoSpaceDE/>
        <w:autoSpaceDN/>
        <w:bidi w:val="0"/>
        <w:adjustRightInd/>
        <w:snapToGrid/>
        <w:spacing w:line="640" w:lineRule="exact"/>
        <w:jc w:val="right"/>
        <w:textAlignment w:val="auto"/>
        <w:rPr>
          <w:rFonts w:hint="eastAsia"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rPr>
        <w:t>2024年11月</w:t>
      </w:r>
      <w:r>
        <w:rPr>
          <w:rFonts w:hint="eastAsia" w:ascii="Times New Roman" w:hAnsi="Times New Roman" w:eastAsia="仿宋_GB2312" w:cs="Times New Roman"/>
          <w:color w:val="auto"/>
          <w:sz w:val="32"/>
          <w:szCs w:val="32"/>
          <w:lang w:val="en-US" w:eastAsia="zh-CN"/>
        </w:rPr>
        <w:t>17</w:t>
      </w:r>
      <w:r>
        <w:rPr>
          <w:rFonts w:hint="default" w:ascii="Times New Roman" w:hAnsi="Times New Roman" w:eastAsia="仿宋_GB2312" w:cs="Times New Roman"/>
          <w:color w:val="auto"/>
          <w:sz w:val="32"/>
          <w:szCs w:val="32"/>
        </w:rPr>
        <w:t>日</w:t>
      </w:r>
      <w:r>
        <w:rPr>
          <w:rFonts w:hint="eastAsia" w:ascii="Times New Roman" w:hAnsi="Times New Roman" w:eastAsia="仿宋_GB2312" w:cs="Times New Roman"/>
          <w:color w:val="auto"/>
          <w:sz w:val="32"/>
          <w:szCs w:val="32"/>
          <w:lang w:val="en-US" w:eastAsia="zh-CN"/>
        </w:rPr>
        <w:t xml:space="preserve"> </w:t>
      </w:r>
    </w:p>
    <w:p w14:paraId="62198836">
      <w:pPr>
        <w:spacing w:line="580" w:lineRule="exact"/>
        <w:jc w:val="left"/>
        <w:rPr>
          <w:rFonts w:hint="default" w:ascii="Times New Roman" w:hAnsi="Times New Roman" w:eastAsia="仿宋_GB2312" w:cs="Times New Roman"/>
          <w:color w:val="auto"/>
          <w:kern w:val="0"/>
          <w:sz w:val="32"/>
          <w:szCs w:val="32"/>
        </w:rPr>
      </w:pPr>
    </w:p>
    <w:p w14:paraId="1EFB6815">
      <w:pPr>
        <w:spacing w:line="580" w:lineRule="exact"/>
        <w:jc w:val="left"/>
        <w:rPr>
          <w:rFonts w:hint="default" w:ascii="Times New Roman" w:hAnsi="Times New Roman" w:eastAsia="仿宋_GB2312" w:cs="Times New Roman"/>
          <w:color w:val="auto"/>
          <w:kern w:val="0"/>
          <w:sz w:val="32"/>
          <w:szCs w:val="32"/>
        </w:rPr>
      </w:pPr>
    </w:p>
    <w:p w14:paraId="218A9197">
      <w:pPr>
        <w:spacing w:line="580" w:lineRule="exact"/>
        <w:jc w:val="left"/>
        <w:rPr>
          <w:rFonts w:hint="default" w:ascii="Times New Roman" w:hAnsi="Times New Roman" w:eastAsia="仿宋_GB2312" w:cs="Times New Roman"/>
          <w:color w:val="auto"/>
          <w:kern w:val="0"/>
          <w:sz w:val="32"/>
          <w:szCs w:val="32"/>
        </w:rPr>
      </w:pPr>
    </w:p>
    <w:p w14:paraId="44AAC648">
      <w:pPr>
        <w:spacing w:line="580" w:lineRule="exact"/>
        <w:jc w:val="left"/>
        <w:rPr>
          <w:rFonts w:hint="default" w:ascii="Times New Roman" w:hAnsi="Times New Roman" w:eastAsia="仿宋_GB2312" w:cs="Times New Roman"/>
          <w:color w:val="auto"/>
          <w:kern w:val="0"/>
          <w:sz w:val="32"/>
          <w:szCs w:val="32"/>
        </w:rPr>
      </w:pPr>
    </w:p>
    <w:p w14:paraId="0C097D2A">
      <w:pPr>
        <w:spacing w:line="580" w:lineRule="exact"/>
        <w:jc w:val="left"/>
        <w:rPr>
          <w:rFonts w:hint="default" w:ascii="Times New Roman" w:hAnsi="Times New Roman" w:eastAsia="仿宋_GB2312" w:cs="Times New Roman"/>
          <w:color w:val="auto"/>
          <w:kern w:val="0"/>
          <w:sz w:val="32"/>
          <w:szCs w:val="32"/>
        </w:rPr>
      </w:pPr>
    </w:p>
    <w:p w14:paraId="7967A2B1">
      <w:pPr>
        <w:spacing w:line="580" w:lineRule="exact"/>
        <w:jc w:val="left"/>
        <w:rPr>
          <w:rFonts w:hint="default" w:ascii="Times New Roman" w:hAnsi="Times New Roman" w:eastAsia="仿宋_GB2312" w:cs="Times New Roman"/>
          <w:color w:val="auto"/>
          <w:kern w:val="0"/>
          <w:sz w:val="32"/>
          <w:szCs w:val="32"/>
        </w:rPr>
      </w:pPr>
    </w:p>
    <w:p w14:paraId="3B115A06">
      <w:pPr>
        <w:spacing w:line="580" w:lineRule="exact"/>
        <w:jc w:val="left"/>
        <w:rPr>
          <w:rFonts w:hint="default" w:ascii="Times New Roman" w:hAnsi="Times New Roman" w:eastAsia="仿宋_GB2312" w:cs="Times New Roman"/>
          <w:color w:val="auto"/>
          <w:kern w:val="0"/>
          <w:sz w:val="32"/>
          <w:szCs w:val="32"/>
        </w:rPr>
      </w:pPr>
    </w:p>
    <w:p w14:paraId="11306323">
      <w:pPr>
        <w:spacing w:line="580" w:lineRule="exact"/>
        <w:jc w:val="left"/>
        <w:rPr>
          <w:rFonts w:hint="default" w:ascii="Times New Roman" w:hAnsi="Times New Roman" w:eastAsia="仿宋_GB2312" w:cs="Times New Roman"/>
          <w:color w:val="auto"/>
          <w:kern w:val="0"/>
          <w:sz w:val="32"/>
          <w:szCs w:val="32"/>
        </w:rPr>
      </w:pPr>
    </w:p>
    <w:p w14:paraId="460AE504">
      <w:pPr>
        <w:spacing w:line="580" w:lineRule="exact"/>
        <w:jc w:val="left"/>
        <w:rPr>
          <w:rFonts w:hint="default" w:ascii="Times New Roman" w:hAnsi="Times New Roman" w:eastAsia="仿宋_GB2312" w:cs="Times New Roman"/>
          <w:color w:val="auto"/>
          <w:kern w:val="0"/>
          <w:sz w:val="32"/>
          <w:szCs w:val="32"/>
        </w:rPr>
      </w:pPr>
    </w:p>
    <w:p w14:paraId="5B39FD26">
      <w:pPr>
        <w:spacing w:line="580" w:lineRule="exact"/>
        <w:jc w:val="left"/>
        <w:rPr>
          <w:rFonts w:hint="default" w:ascii="Times New Roman" w:hAnsi="Times New Roman" w:eastAsia="仿宋_GB2312" w:cs="Times New Roman"/>
          <w:color w:val="auto"/>
          <w:kern w:val="0"/>
          <w:sz w:val="32"/>
          <w:szCs w:val="32"/>
        </w:rPr>
      </w:pPr>
    </w:p>
    <w:p w14:paraId="2333A3C5">
      <w:pPr>
        <w:spacing w:line="580" w:lineRule="exact"/>
        <w:jc w:val="left"/>
        <w:rPr>
          <w:rFonts w:hint="default" w:ascii="Times New Roman" w:hAnsi="Times New Roman" w:eastAsia="仿宋_GB2312" w:cs="Times New Roman"/>
          <w:color w:val="auto"/>
          <w:kern w:val="0"/>
          <w:sz w:val="32"/>
          <w:szCs w:val="32"/>
        </w:rPr>
      </w:pPr>
    </w:p>
    <w:p w14:paraId="7CBF7E43">
      <w:pPr>
        <w:spacing w:line="580" w:lineRule="exact"/>
        <w:jc w:val="left"/>
        <w:rPr>
          <w:rFonts w:hint="default" w:ascii="Times New Roman" w:hAnsi="Times New Roman" w:eastAsia="仿宋_GB2312" w:cs="Times New Roman"/>
          <w:color w:val="auto"/>
          <w:kern w:val="0"/>
          <w:sz w:val="32"/>
          <w:szCs w:val="32"/>
        </w:rPr>
      </w:pPr>
    </w:p>
    <w:p w14:paraId="1052ED26">
      <w:pPr>
        <w:spacing w:line="580" w:lineRule="exact"/>
        <w:jc w:val="left"/>
        <w:rPr>
          <w:rFonts w:hint="default" w:ascii="Times New Roman" w:hAnsi="Times New Roman" w:eastAsia="仿宋_GB2312" w:cs="Times New Roman"/>
          <w:color w:val="auto"/>
          <w:kern w:val="0"/>
          <w:sz w:val="32"/>
          <w:szCs w:val="32"/>
        </w:rPr>
      </w:pPr>
    </w:p>
    <w:p w14:paraId="407B0427">
      <w:pPr>
        <w:spacing w:line="580" w:lineRule="exact"/>
        <w:jc w:val="left"/>
        <w:rPr>
          <w:rFonts w:hint="default" w:ascii="Times New Roman" w:hAnsi="Times New Roman" w:eastAsia="仿宋_GB2312" w:cs="Times New Roman"/>
          <w:color w:val="auto"/>
          <w:kern w:val="0"/>
          <w:sz w:val="32"/>
          <w:szCs w:val="32"/>
        </w:rPr>
      </w:pPr>
    </w:p>
    <w:p w14:paraId="142EC3B9">
      <w:pPr>
        <w:spacing w:line="580" w:lineRule="exact"/>
        <w:jc w:val="left"/>
        <w:rPr>
          <w:rFonts w:hint="default" w:ascii="Times New Roman" w:hAnsi="Times New Roman" w:eastAsia="仿宋_GB2312" w:cs="Times New Roman"/>
          <w:color w:val="auto"/>
          <w:kern w:val="0"/>
          <w:sz w:val="32"/>
          <w:szCs w:val="32"/>
        </w:rPr>
      </w:pPr>
    </w:p>
    <w:p w14:paraId="11E1D931">
      <w:pPr>
        <w:spacing w:line="580" w:lineRule="exact"/>
        <w:jc w:val="left"/>
        <w:rPr>
          <w:rFonts w:hint="default" w:ascii="Times New Roman" w:hAnsi="Times New Roman" w:eastAsia="仿宋_GB2312" w:cs="Times New Roman"/>
          <w:color w:val="auto"/>
          <w:kern w:val="0"/>
          <w:sz w:val="32"/>
          <w:szCs w:val="32"/>
        </w:rPr>
      </w:pPr>
    </w:p>
    <w:p w14:paraId="0DEE1135">
      <w:pPr>
        <w:spacing w:line="580" w:lineRule="exact"/>
        <w:jc w:val="left"/>
        <w:rPr>
          <w:rFonts w:hint="eastAsia" w:ascii="黑体" w:hAnsi="黑体" w:eastAsia="黑体" w:cs="黑体"/>
          <w:color w:val="auto"/>
          <w:kern w:val="0"/>
          <w:sz w:val="32"/>
          <w:szCs w:val="32"/>
        </w:rPr>
      </w:pPr>
      <w:r>
        <w:rPr>
          <w:rFonts w:hint="eastAsia" w:ascii="黑体" w:hAnsi="黑体" w:eastAsia="黑体" w:cs="黑体"/>
          <w:color w:val="auto"/>
          <w:kern w:val="0"/>
          <w:sz w:val="32"/>
          <w:szCs w:val="32"/>
        </w:rPr>
        <w:t>附件1</w:t>
      </w:r>
    </w:p>
    <w:p w14:paraId="62DCC18C">
      <w:pPr>
        <w:spacing w:line="580" w:lineRule="exact"/>
        <w:jc w:val="center"/>
        <w:rPr>
          <w:rFonts w:hint="eastAsia" w:ascii="方正小标宋简体" w:hAnsi="方正小标宋简体" w:eastAsia="方正小标宋简体" w:cs="方正小标宋简体"/>
          <w:color w:val="auto"/>
          <w:kern w:val="0"/>
          <w:sz w:val="44"/>
          <w:szCs w:val="44"/>
        </w:rPr>
      </w:pPr>
      <w:r>
        <w:rPr>
          <w:rFonts w:hint="eastAsia" w:ascii="方正小标宋简体" w:hAnsi="方正小标宋简体" w:eastAsia="方正小标宋简体" w:cs="方正小标宋简体"/>
          <w:color w:val="auto"/>
          <w:kern w:val="0"/>
          <w:sz w:val="44"/>
          <w:szCs w:val="44"/>
        </w:rPr>
        <w:t>招标代理企业负面行为清单</w:t>
      </w:r>
    </w:p>
    <w:p w14:paraId="3966A096">
      <w:pPr>
        <w:spacing w:line="580" w:lineRule="exact"/>
        <w:jc w:val="center"/>
        <w:rPr>
          <w:rFonts w:hint="default" w:ascii="Times New Roman" w:hAnsi="Times New Roman" w:eastAsia="黑体" w:cs="Times New Roman"/>
          <w:color w:val="auto"/>
          <w:kern w:val="0"/>
          <w:sz w:val="32"/>
          <w:szCs w:val="32"/>
        </w:rPr>
      </w:pPr>
    </w:p>
    <w:tbl>
      <w:tblPr>
        <w:tblStyle w:val="5"/>
        <w:tblW w:w="5039" w:type="pct"/>
        <w:tblInd w:w="0" w:type="dxa"/>
        <w:tblLayout w:type="autofit"/>
        <w:tblCellMar>
          <w:top w:w="0" w:type="dxa"/>
          <w:left w:w="108" w:type="dxa"/>
          <w:bottom w:w="0" w:type="dxa"/>
          <w:right w:w="108" w:type="dxa"/>
        </w:tblCellMar>
      </w:tblPr>
      <w:tblGrid>
        <w:gridCol w:w="1426"/>
        <w:gridCol w:w="7705"/>
      </w:tblGrid>
      <w:tr w14:paraId="4C11A068">
        <w:tblPrEx>
          <w:tblCellMar>
            <w:top w:w="0" w:type="dxa"/>
            <w:left w:w="108" w:type="dxa"/>
            <w:bottom w:w="0" w:type="dxa"/>
            <w:right w:w="108" w:type="dxa"/>
          </w:tblCellMar>
        </w:tblPrEx>
        <w:trPr>
          <w:trHeight w:val="710" w:hRule="exact"/>
        </w:trPr>
        <w:tc>
          <w:tcPr>
            <w:tcW w:w="781" w:type="pct"/>
            <w:tcBorders>
              <w:top w:val="single" w:color="auto" w:sz="6" w:space="0"/>
              <w:left w:val="single" w:color="auto" w:sz="6" w:space="0"/>
              <w:bottom w:val="single" w:color="auto" w:sz="6" w:space="0"/>
              <w:right w:val="single" w:color="auto" w:sz="6" w:space="0"/>
            </w:tcBorders>
            <w:vAlign w:val="center"/>
          </w:tcPr>
          <w:p w14:paraId="3B4909E3">
            <w:pPr>
              <w:spacing w:line="580" w:lineRule="exact"/>
              <w:jc w:val="center"/>
              <w:rPr>
                <w:rFonts w:hint="default" w:ascii="Times New Roman" w:hAnsi="Times New Roman" w:eastAsia="仿宋_GB2312" w:cs="Times New Roman"/>
                <w:b/>
                <w:bCs/>
                <w:color w:val="auto"/>
                <w:sz w:val="28"/>
                <w:szCs w:val="28"/>
              </w:rPr>
            </w:pPr>
            <w:r>
              <w:rPr>
                <w:rFonts w:hint="default" w:ascii="Times New Roman" w:hAnsi="Times New Roman" w:eastAsia="仿宋_GB2312" w:cs="Times New Roman"/>
                <w:b/>
                <w:bCs/>
                <w:color w:val="auto"/>
                <w:sz w:val="28"/>
                <w:szCs w:val="28"/>
              </w:rPr>
              <w:t>序号</w:t>
            </w:r>
          </w:p>
        </w:tc>
        <w:tc>
          <w:tcPr>
            <w:tcW w:w="4219" w:type="pct"/>
            <w:tcBorders>
              <w:top w:val="single" w:color="auto" w:sz="6" w:space="0"/>
              <w:left w:val="single" w:color="auto" w:sz="6" w:space="0"/>
              <w:bottom w:val="single" w:color="auto" w:sz="6" w:space="0"/>
              <w:right w:val="single" w:color="auto" w:sz="6" w:space="0"/>
            </w:tcBorders>
            <w:vAlign w:val="center"/>
          </w:tcPr>
          <w:p w14:paraId="7CA46ADC">
            <w:pPr>
              <w:spacing w:line="580" w:lineRule="exact"/>
              <w:jc w:val="center"/>
              <w:rPr>
                <w:rFonts w:hint="default" w:ascii="Times New Roman" w:hAnsi="Times New Roman" w:eastAsia="仿宋_GB2312" w:cs="Times New Roman"/>
                <w:b/>
                <w:bCs/>
                <w:color w:val="auto"/>
                <w:sz w:val="28"/>
                <w:szCs w:val="28"/>
              </w:rPr>
            </w:pPr>
            <w:r>
              <w:rPr>
                <w:rFonts w:hint="default" w:ascii="Times New Roman" w:hAnsi="Times New Roman" w:eastAsia="仿宋_GB2312" w:cs="Times New Roman"/>
                <w:b/>
                <w:bCs/>
                <w:color w:val="auto"/>
                <w:sz w:val="28"/>
                <w:szCs w:val="28"/>
              </w:rPr>
              <w:t>负面行为内容</w:t>
            </w:r>
          </w:p>
        </w:tc>
      </w:tr>
      <w:tr w14:paraId="44C767C8">
        <w:tblPrEx>
          <w:tblCellMar>
            <w:top w:w="0" w:type="dxa"/>
            <w:left w:w="108" w:type="dxa"/>
            <w:bottom w:w="0" w:type="dxa"/>
            <w:right w:w="108" w:type="dxa"/>
          </w:tblCellMar>
        </w:tblPrEx>
        <w:trPr>
          <w:trHeight w:val="710" w:hRule="exact"/>
        </w:trPr>
        <w:tc>
          <w:tcPr>
            <w:tcW w:w="781" w:type="pct"/>
            <w:tcBorders>
              <w:top w:val="single" w:color="auto" w:sz="6" w:space="0"/>
              <w:left w:val="single" w:color="auto" w:sz="6" w:space="0"/>
              <w:bottom w:val="single" w:color="auto" w:sz="6" w:space="0"/>
              <w:right w:val="single" w:color="auto" w:sz="6" w:space="0"/>
            </w:tcBorders>
            <w:vAlign w:val="center"/>
          </w:tcPr>
          <w:p w14:paraId="22EA841E">
            <w:pPr>
              <w:spacing w:line="580" w:lineRule="exact"/>
              <w:jc w:val="center"/>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1</w:t>
            </w:r>
          </w:p>
        </w:tc>
        <w:tc>
          <w:tcPr>
            <w:tcW w:w="4219" w:type="pct"/>
            <w:tcBorders>
              <w:top w:val="single" w:color="auto" w:sz="6" w:space="0"/>
              <w:left w:val="single" w:color="auto" w:sz="6" w:space="0"/>
              <w:bottom w:val="single" w:color="auto" w:sz="6" w:space="0"/>
              <w:right w:val="single" w:color="auto" w:sz="6" w:space="0"/>
            </w:tcBorders>
            <w:vAlign w:val="center"/>
          </w:tcPr>
          <w:p w14:paraId="72FFD08C">
            <w:pPr>
              <w:widowControl/>
              <w:spacing w:beforeAutospacing="0" w:afterAutospacing="0" w:line="580" w:lineRule="exact"/>
              <w:jc w:val="left"/>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仿宋_GB2312" w:cs="Times New Roman"/>
                <w:color w:val="auto"/>
                <w:kern w:val="0"/>
                <w:sz w:val="28"/>
                <w:szCs w:val="28"/>
                <w:lang w:val="en-US" w:eastAsia="zh-CN" w:bidi="ar-SA"/>
              </w:rPr>
              <w:t>未按要求组织招标。</w:t>
            </w:r>
          </w:p>
        </w:tc>
      </w:tr>
      <w:tr w14:paraId="384E0190">
        <w:tblPrEx>
          <w:tblCellMar>
            <w:top w:w="0" w:type="dxa"/>
            <w:left w:w="108" w:type="dxa"/>
            <w:bottom w:w="0" w:type="dxa"/>
            <w:right w:w="108" w:type="dxa"/>
          </w:tblCellMar>
        </w:tblPrEx>
        <w:trPr>
          <w:trHeight w:val="710" w:hRule="exact"/>
        </w:trPr>
        <w:tc>
          <w:tcPr>
            <w:tcW w:w="781" w:type="pct"/>
            <w:tcBorders>
              <w:top w:val="single" w:color="auto" w:sz="6" w:space="0"/>
              <w:left w:val="single" w:color="auto" w:sz="6" w:space="0"/>
              <w:bottom w:val="single" w:color="auto" w:sz="6" w:space="0"/>
              <w:right w:val="single" w:color="auto" w:sz="6" w:space="0"/>
            </w:tcBorders>
            <w:vAlign w:val="center"/>
          </w:tcPr>
          <w:p w14:paraId="2CDB9124">
            <w:pPr>
              <w:spacing w:line="580" w:lineRule="exact"/>
              <w:jc w:val="center"/>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2</w:t>
            </w:r>
          </w:p>
        </w:tc>
        <w:tc>
          <w:tcPr>
            <w:tcW w:w="4219" w:type="pct"/>
            <w:tcBorders>
              <w:top w:val="single" w:color="auto" w:sz="6" w:space="0"/>
              <w:left w:val="single" w:color="auto" w:sz="6" w:space="0"/>
              <w:bottom w:val="single" w:color="auto" w:sz="6" w:space="0"/>
              <w:right w:val="single" w:color="auto" w:sz="6" w:space="0"/>
            </w:tcBorders>
            <w:vAlign w:val="center"/>
          </w:tcPr>
          <w:p w14:paraId="2A40AB2A">
            <w:pPr>
              <w:widowControl/>
              <w:spacing w:beforeAutospacing="0" w:afterAutospacing="0" w:line="580" w:lineRule="exact"/>
              <w:jc w:val="left"/>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仿宋_GB2312" w:cs="Times New Roman"/>
                <w:color w:val="auto"/>
                <w:kern w:val="0"/>
                <w:sz w:val="28"/>
                <w:szCs w:val="28"/>
                <w:lang w:val="en-US" w:eastAsia="zh-CN" w:bidi="ar-SA"/>
              </w:rPr>
              <w:t>不按规定编制资格预审文件、招标文件。</w:t>
            </w:r>
          </w:p>
        </w:tc>
      </w:tr>
      <w:tr w14:paraId="2E45459A">
        <w:tblPrEx>
          <w:tblCellMar>
            <w:top w:w="0" w:type="dxa"/>
            <w:left w:w="108" w:type="dxa"/>
            <w:bottom w:w="0" w:type="dxa"/>
            <w:right w:w="108" w:type="dxa"/>
          </w:tblCellMar>
        </w:tblPrEx>
        <w:trPr>
          <w:trHeight w:val="710" w:hRule="exact"/>
        </w:trPr>
        <w:tc>
          <w:tcPr>
            <w:tcW w:w="781" w:type="pct"/>
            <w:tcBorders>
              <w:top w:val="single" w:color="auto" w:sz="6" w:space="0"/>
              <w:left w:val="single" w:color="auto" w:sz="6" w:space="0"/>
              <w:bottom w:val="single" w:color="auto" w:sz="6" w:space="0"/>
              <w:right w:val="single" w:color="auto" w:sz="6" w:space="0"/>
            </w:tcBorders>
            <w:vAlign w:val="center"/>
          </w:tcPr>
          <w:p w14:paraId="309C7FEC">
            <w:pPr>
              <w:spacing w:line="580" w:lineRule="exact"/>
              <w:jc w:val="center"/>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3</w:t>
            </w:r>
          </w:p>
        </w:tc>
        <w:tc>
          <w:tcPr>
            <w:tcW w:w="4219" w:type="pct"/>
            <w:tcBorders>
              <w:top w:val="single" w:color="auto" w:sz="6" w:space="0"/>
              <w:left w:val="single" w:color="auto" w:sz="6" w:space="0"/>
              <w:bottom w:val="single" w:color="auto" w:sz="6" w:space="0"/>
              <w:right w:val="single" w:color="auto" w:sz="6" w:space="0"/>
            </w:tcBorders>
            <w:vAlign w:val="center"/>
          </w:tcPr>
          <w:p w14:paraId="0F9B78C0">
            <w:pPr>
              <w:widowControl/>
              <w:spacing w:beforeAutospacing="0" w:afterAutospacing="0" w:line="580" w:lineRule="exact"/>
              <w:jc w:val="left"/>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仿宋_GB2312" w:cs="Times New Roman"/>
                <w:color w:val="auto"/>
                <w:kern w:val="0"/>
                <w:sz w:val="28"/>
                <w:szCs w:val="28"/>
                <w:lang w:val="en-US" w:eastAsia="zh-CN" w:bidi="ar-SA"/>
              </w:rPr>
              <w:t>以不合理的条件限制、排斥投标人或潜在投标人。</w:t>
            </w:r>
          </w:p>
        </w:tc>
      </w:tr>
      <w:tr w14:paraId="7432265F">
        <w:tblPrEx>
          <w:tblCellMar>
            <w:top w:w="0" w:type="dxa"/>
            <w:left w:w="108" w:type="dxa"/>
            <w:bottom w:w="0" w:type="dxa"/>
            <w:right w:w="108" w:type="dxa"/>
          </w:tblCellMar>
        </w:tblPrEx>
        <w:trPr>
          <w:trHeight w:val="710" w:hRule="exact"/>
        </w:trPr>
        <w:tc>
          <w:tcPr>
            <w:tcW w:w="781" w:type="pct"/>
            <w:tcBorders>
              <w:top w:val="single" w:color="auto" w:sz="6" w:space="0"/>
              <w:left w:val="single" w:color="auto" w:sz="6" w:space="0"/>
              <w:bottom w:val="single" w:color="auto" w:sz="6" w:space="0"/>
              <w:right w:val="single" w:color="auto" w:sz="6" w:space="0"/>
            </w:tcBorders>
            <w:vAlign w:val="center"/>
          </w:tcPr>
          <w:p w14:paraId="7B26CA35">
            <w:pPr>
              <w:spacing w:line="580" w:lineRule="exact"/>
              <w:jc w:val="center"/>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4</w:t>
            </w:r>
          </w:p>
        </w:tc>
        <w:tc>
          <w:tcPr>
            <w:tcW w:w="4219" w:type="pct"/>
            <w:tcBorders>
              <w:top w:val="single" w:color="auto" w:sz="6" w:space="0"/>
              <w:left w:val="single" w:color="auto" w:sz="6" w:space="0"/>
              <w:bottom w:val="single" w:color="auto" w:sz="6" w:space="0"/>
              <w:right w:val="single" w:color="auto" w:sz="6" w:space="0"/>
            </w:tcBorders>
            <w:vAlign w:val="center"/>
          </w:tcPr>
          <w:p w14:paraId="3B7DF185">
            <w:pPr>
              <w:widowControl/>
              <w:spacing w:beforeAutospacing="0" w:afterAutospacing="0" w:line="580" w:lineRule="exact"/>
              <w:jc w:val="left"/>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仿宋_GB2312" w:cs="Times New Roman"/>
                <w:color w:val="auto"/>
                <w:kern w:val="0"/>
                <w:sz w:val="28"/>
                <w:szCs w:val="28"/>
                <w:lang w:val="en-US" w:eastAsia="zh-CN" w:bidi="ar-SA"/>
              </w:rPr>
              <w:t>发布公告、公示不规范。</w:t>
            </w:r>
          </w:p>
        </w:tc>
      </w:tr>
      <w:tr w14:paraId="2C7AB973">
        <w:tblPrEx>
          <w:tblCellMar>
            <w:top w:w="0" w:type="dxa"/>
            <w:left w:w="108" w:type="dxa"/>
            <w:bottom w:w="0" w:type="dxa"/>
            <w:right w:w="108" w:type="dxa"/>
          </w:tblCellMar>
        </w:tblPrEx>
        <w:trPr>
          <w:trHeight w:val="710" w:hRule="exact"/>
        </w:trPr>
        <w:tc>
          <w:tcPr>
            <w:tcW w:w="781" w:type="pct"/>
            <w:tcBorders>
              <w:top w:val="single" w:color="auto" w:sz="6" w:space="0"/>
              <w:left w:val="single" w:color="auto" w:sz="6" w:space="0"/>
              <w:bottom w:val="single" w:color="auto" w:sz="6" w:space="0"/>
              <w:right w:val="single" w:color="auto" w:sz="6" w:space="0"/>
            </w:tcBorders>
            <w:vAlign w:val="center"/>
          </w:tcPr>
          <w:p w14:paraId="42884BE2">
            <w:pPr>
              <w:spacing w:line="580" w:lineRule="exact"/>
              <w:jc w:val="center"/>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5</w:t>
            </w:r>
          </w:p>
        </w:tc>
        <w:tc>
          <w:tcPr>
            <w:tcW w:w="4219" w:type="pct"/>
            <w:tcBorders>
              <w:top w:val="single" w:color="auto" w:sz="6" w:space="0"/>
              <w:left w:val="single" w:color="auto" w:sz="6" w:space="0"/>
              <w:bottom w:val="single" w:color="auto" w:sz="6" w:space="0"/>
              <w:right w:val="single" w:color="auto" w:sz="6" w:space="0"/>
            </w:tcBorders>
            <w:vAlign w:val="center"/>
          </w:tcPr>
          <w:p w14:paraId="3D4A4896">
            <w:pPr>
              <w:widowControl/>
              <w:spacing w:beforeAutospacing="0" w:afterAutospacing="0" w:line="580" w:lineRule="exact"/>
              <w:jc w:val="left"/>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仿宋_GB2312" w:cs="Times New Roman"/>
                <w:color w:val="auto"/>
                <w:kern w:val="0"/>
                <w:sz w:val="28"/>
                <w:szCs w:val="28"/>
                <w:lang w:val="en-US" w:eastAsia="zh-CN" w:bidi="ar-SA"/>
              </w:rPr>
              <w:t>违反保密规定。</w:t>
            </w:r>
          </w:p>
        </w:tc>
      </w:tr>
      <w:tr w14:paraId="19DDE35D">
        <w:tblPrEx>
          <w:tblCellMar>
            <w:top w:w="0" w:type="dxa"/>
            <w:left w:w="108" w:type="dxa"/>
            <w:bottom w:w="0" w:type="dxa"/>
            <w:right w:w="108" w:type="dxa"/>
          </w:tblCellMar>
        </w:tblPrEx>
        <w:trPr>
          <w:trHeight w:val="710" w:hRule="exact"/>
        </w:trPr>
        <w:tc>
          <w:tcPr>
            <w:tcW w:w="781" w:type="pct"/>
            <w:tcBorders>
              <w:top w:val="single" w:color="auto" w:sz="6" w:space="0"/>
              <w:left w:val="single" w:color="auto" w:sz="6" w:space="0"/>
              <w:bottom w:val="single" w:color="auto" w:sz="6" w:space="0"/>
              <w:right w:val="single" w:color="auto" w:sz="6" w:space="0"/>
            </w:tcBorders>
            <w:vAlign w:val="center"/>
          </w:tcPr>
          <w:p w14:paraId="131CD589">
            <w:pPr>
              <w:spacing w:line="580" w:lineRule="exact"/>
              <w:jc w:val="center"/>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6</w:t>
            </w:r>
          </w:p>
        </w:tc>
        <w:tc>
          <w:tcPr>
            <w:tcW w:w="4219" w:type="pct"/>
            <w:tcBorders>
              <w:top w:val="single" w:color="auto" w:sz="6" w:space="0"/>
              <w:left w:val="single" w:color="auto" w:sz="6" w:space="0"/>
              <w:bottom w:val="single" w:color="auto" w:sz="6" w:space="0"/>
              <w:right w:val="single" w:color="auto" w:sz="6" w:space="0"/>
            </w:tcBorders>
            <w:vAlign w:val="center"/>
          </w:tcPr>
          <w:p w14:paraId="0156CB52">
            <w:pPr>
              <w:widowControl/>
              <w:spacing w:beforeAutospacing="0" w:afterAutospacing="0" w:line="580" w:lineRule="exact"/>
              <w:jc w:val="left"/>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仿宋_GB2312" w:cs="Times New Roman"/>
                <w:color w:val="auto"/>
                <w:kern w:val="0"/>
                <w:sz w:val="28"/>
                <w:szCs w:val="28"/>
                <w:lang w:val="en-US" w:eastAsia="zh-CN" w:bidi="ar-SA"/>
              </w:rPr>
              <w:t>开评标程序不符合规定。</w:t>
            </w:r>
          </w:p>
        </w:tc>
      </w:tr>
      <w:tr w14:paraId="749D1638">
        <w:tblPrEx>
          <w:tblCellMar>
            <w:top w:w="0" w:type="dxa"/>
            <w:left w:w="108" w:type="dxa"/>
            <w:bottom w:w="0" w:type="dxa"/>
            <w:right w:w="108" w:type="dxa"/>
          </w:tblCellMar>
        </w:tblPrEx>
        <w:trPr>
          <w:trHeight w:val="710" w:hRule="exact"/>
        </w:trPr>
        <w:tc>
          <w:tcPr>
            <w:tcW w:w="781" w:type="pct"/>
            <w:tcBorders>
              <w:top w:val="single" w:color="auto" w:sz="6" w:space="0"/>
              <w:left w:val="single" w:color="auto" w:sz="6" w:space="0"/>
              <w:bottom w:val="single" w:color="auto" w:sz="6" w:space="0"/>
              <w:right w:val="single" w:color="auto" w:sz="6" w:space="0"/>
            </w:tcBorders>
            <w:vAlign w:val="center"/>
          </w:tcPr>
          <w:p w14:paraId="0F31DC25">
            <w:pPr>
              <w:spacing w:line="580" w:lineRule="exact"/>
              <w:jc w:val="center"/>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7</w:t>
            </w:r>
          </w:p>
        </w:tc>
        <w:tc>
          <w:tcPr>
            <w:tcW w:w="4219" w:type="pct"/>
            <w:tcBorders>
              <w:top w:val="single" w:color="auto" w:sz="6" w:space="0"/>
              <w:left w:val="single" w:color="auto" w:sz="6" w:space="0"/>
              <w:bottom w:val="single" w:color="auto" w:sz="6" w:space="0"/>
              <w:right w:val="single" w:color="auto" w:sz="6" w:space="0"/>
            </w:tcBorders>
            <w:vAlign w:val="center"/>
          </w:tcPr>
          <w:p w14:paraId="5BA61AC8">
            <w:pPr>
              <w:widowControl/>
              <w:spacing w:beforeAutospacing="0" w:afterAutospacing="0" w:line="580" w:lineRule="exact"/>
              <w:jc w:val="left"/>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仿宋_GB2312" w:cs="Times New Roman"/>
                <w:color w:val="auto"/>
                <w:kern w:val="0"/>
                <w:sz w:val="28"/>
                <w:szCs w:val="28"/>
                <w:lang w:val="en-US" w:eastAsia="zh-CN" w:bidi="ar-SA"/>
              </w:rPr>
              <w:t>不依法组建评标委员会及资格审查委员会。</w:t>
            </w:r>
          </w:p>
        </w:tc>
      </w:tr>
      <w:tr w14:paraId="381543BD">
        <w:tblPrEx>
          <w:tblCellMar>
            <w:top w:w="0" w:type="dxa"/>
            <w:left w:w="108" w:type="dxa"/>
            <w:bottom w:w="0" w:type="dxa"/>
            <w:right w:w="108" w:type="dxa"/>
          </w:tblCellMar>
        </w:tblPrEx>
        <w:trPr>
          <w:trHeight w:val="710" w:hRule="exact"/>
        </w:trPr>
        <w:tc>
          <w:tcPr>
            <w:tcW w:w="781" w:type="pct"/>
            <w:tcBorders>
              <w:top w:val="single" w:color="auto" w:sz="6" w:space="0"/>
              <w:left w:val="single" w:color="auto" w:sz="6" w:space="0"/>
              <w:bottom w:val="single" w:color="auto" w:sz="6" w:space="0"/>
              <w:right w:val="single" w:color="auto" w:sz="6" w:space="0"/>
            </w:tcBorders>
            <w:vAlign w:val="center"/>
          </w:tcPr>
          <w:p w14:paraId="5DEFC7C9">
            <w:pPr>
              <w:spacing w:line="580" w:lineRule="exact"/>
              <w:jc w:val="center"/>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8</w:t>
            </w:r>
          </w:p>
        </w:tc>
        <w:tc>
          <w:tcPr>
            <w:tcW w:w="4219" w:type="pct"/>
            <w:tcBorders>
              <w:top w:val="single" w:color="auto" w:sz="6" w:space="0"/>
              <w:left w:val="single" w:color="auto" w:sz="6" w:space="0"/>
              <w:bottom w:val="single" w:color="auto" w:sz="6" w:space="0"/>
              <w:right w:val="single" w:color="auto" w:sz="6" w:space="0"/>
            </w:tcBorders>
            <w:vAlign w:val="center"/>
          </w:tcPr>
          <w:p w14:paraId="64402FA8">
            <w:pPr>
              <w:widowControl/>
              <w:spacing w:beforeAutospacing="0" w:afterAutospacing="0" w:line="580" w:lineRule="exact"/>
              <w:jc w:val="left"/>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仿宋_GB2312" w:cs="Times New Roman"/>
                <w:color w:val="auto"/>
                <w:kern w:val="0"/>
                <w:sz w:val="28"/>
                <w:szCs w:val="28"/>
                <w:lang w:val="en-US" w:eastAsia="zh-CN" w:bidi="ar-SA"/>
              </w:rPr>
              <w:t>不依法公示评标结果并确定中标人。</w:t>
            </w:r>
          </w:p>
        </w:tc>
      </w:tr>
      <w:tr w14:paraId="459031AD">
        <w:tblPrEx>
          <w:tblCellMar>
            <w:top w:w="0" w:type="dxa"/>
            <w:left w:w="108" w:type="dxa"/>
            <w:bottom w:w="0" w:type="dxa"/>
            <w:right w:w="108" w:type="dxa"/>
          </w:tblCellMar>
        </w:tblPrEx>
        <w:trPr>
          <w:trHeight w:val="710" w:hRule="exact"/>
        </w:trPr>
        <w:tc>
          <w:tcPr>
            <w:tcW w:w="781" w:type="pct"/>
            <w:tcBorders>
              <w:top w:val="single" w:color="auto" w:sz="6" w:space="0"/>
              <w:left w:val="single" w:color="auto" w:sz="6" w:space="0"/>
              <w:bottom w:val="single" w:color="auto" w:sz="6" w:space="0"/>
              <w:right w:val="single" w:color="auto" w:sz="6" w:space="0"/>
            </w:tcBorders>
            <w:vAlign w:val="center"/>
          </w:tcPr>
          <w:p w14:paraId="41331C2A">
            <w:pPr>
              <w:spacing w:line="580" w:lineRule="exact"/>
              <w:jc w:val="center"/>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9</w:t>
            </w:r>
          </w:p>
        </w:tc>
        <w:tc>
          <w:tcPr>
            <w:tcW w:w="4219" w:type="pct"/>
            <w:tcBorders>
              <w:top w:val="single" w:color="auto" w:sz="6" w:space="0"/>
              <w:left w:val="single" w:color="auto" w:sz="6" w:space="0"/>
              <w:bottom w:val="single" w:color="auto" w:sz="6" w:space="0"/>
              <w:right w:val="single" w:color="auto" w:sz="6" w:space="0"/>
            </w:tcBorders>
            <w:vAlign w:val="center"/>
          </w:tcPr>
          <w:p w14:paraId="53F6B3E8">
            <w:pPr>
              <w:widowControl/>
              <w:spacing w:beforeAutospacing="0" w:afterAutospacing="0" w:line="580" w:lineRule="exact"/>
              <w:jc w:val="left"/>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仿宋_GB2312" w:cs="Times New Roman"/>
                <w:color w:val="auto"/>
                <w:kern w:val="0"/>
                <w:sz w:val="28"/>
                <w:szCs w:val="28"/>
                <w:lang w:val="en-US" w:eastAsia="zh-CN" w:bidi="ar-SA"/>
              </w:rPr>
              <w:t>未按规定处理异议。</w:t>
            </w:r>
          </w:p>
        </w:tc>
      </w:tr>
      <w:tr w14:paraId="4BA428A8">
        <w:tblPrEx>
          <w:tblCellMar>
            <w:top w:w="0" w:type="dxa"/>
            <w:left w:w="108" w:type="dxa"/>
            <w:bottom w:w="0" w:type="dxa"/>
            <w:right w:w="108" w:type="dxa"/>
          </w:tblCellMar>
        </w:tblPrEx>
        <w:trPr>
          <w:trHeight w:val="710" w:hRule="exact"/>
        </w:trPr>
        <w:tc>
          <w:tcPr>
            <w:tcW w:w="781" w:type="pct"/>
            <w:tcBorders>
              <w:top w:val="single" w:color="auto" w:sz="6" w:space="0"/>
              <w:left w:val="single" w:color="auto" w:sz="6" w:space="0"/>
              <w:bottom w:val="single" w:color="auto" w:sz="6" w:space="0"/>
              <w:right w:val="single" w:color="auto" w:sz="6" w:space="0"/>
            </w:tcBorders>
            <w:vAlign w:val="center"/>
          </w:tcPr>
          <w:p w14:paraId="5CCC1C59">
            <w:pPr>
              <w:spacing w:line="580" w:lineRule="exact"/>
              <w:jc w:val="center"/>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10</w:t>
            </w:r>
          </w:p>
        </w:tc>
        <w:tc>
          <w:tcPr>
            <w:tcW w:w="4219" w:type="pct"/>
            <w:tcBorders>
              <w:top w:val="single" w:color="auto" w:sz="6" w:space="0"/>
              <w:left w:val="single" w:color="auto" w:sz="6" w:space="0"/>
              <w:bottom w:val="single" w:color="auto" w:sz="6" w:space="0"/>
              <w:right w:val="single" w:color="auto" w:sz="6" w:space="0"/>
            </w:tcBorders>
            <w:vAlign w:val="center"/>
          </w:tcPr>
          <w:p w14:paraId="2C5B2BB9">
            <w:pPr>
              <w:widowControl/>
              <w:spacing w:beforeAutospacing="0" w:afterAutospacing="0" w:line="580" w:lineRule="exact"/>
              <w:jc w:val="left"/>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仿宋_GB2312" w:cs="Times New Roman"/>
                <w:color w:val="auto"/>
                <w:kern w:val="0"/>
                <w:sz w:val="28"/>
                <w:szCs w:val="28"/>
                <w:lang w:val="en-US" w:eastAsia="zh-CN" w:bidi="ar-SA"/>
              </w:rPr>
              <w:t>不配合行政监督部门依法实施的监督检查。</w:t>
            </w:r>
          </w:p>
        </w:tc>
      </w:tr>
      <w:tr w14:paraId="7FB7BF9E">
        <w:tblPrEx>
          <w:tblCellMar>
            <w:top w:w="0" w:type="dxa"/>
            <w:left w:w="108" w:type="dxa"/>
            <w:bottom w:w="0" w:type="dxa"/>
            <w:right w:w="108" w:type="dxa"/>
          </w:tblCellMar>
        </w:tblPrEx>
        <w:trPr>
          <w:trHeight w:val="710" w:hRule="exact"/>
        </w:trPr>
        <w:tc>
          <w:tcPr>
            <w:tcW w:w="781" w:type="pct"/>
            <w:tcBorders>
              <w:top w:val="single" w:color="auto" w:sz="6" w:space="0"/>
              <w:left w:val="single" w:color="auto" w:sz="6" w:space="0"/>
              <w:bottom w:val="single" w:color="auto" w:sz="6" w:space="0"/>
              <w:right w:val="single" w:color="auto" w:sz="6" w:space="0"/>
            </w:tcBorders>
            <w:vAlign w:val="center"/>
          </w:tcPr>
          <w:p w14:paraId="0F6626B2">
            <w:pPr>
              <w:spacing w:line="580" w:lineRule="exact"/>
              <w:jc w:val="center"/>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11</w:t>
            </w:r>
          </w:p>
        </w:tc>
        <w:tc>
          <w:tcPr>
            <w:tcW w:w="4219" w:type="pct"/>
            <w:tcBorders>
              <w:top w:val="single" w:color="auto" w:sz="6" w:space="0"/>
              <w:left w:val="single" w:color="auto" w:sz="6" w:space="0"/>
              <w:bottom w:val="single" w:color="auto" w:sz="6" w:space="0"/>
              <w:right w:val="single" w:color="auto" w:sz="6" w:space="0"/>
            </w:tcBorders>
            <w:vAlign w:val="center"/>
          </w:tcPr>
          <w:p w14:paraId="238B65E6">
            <w:pPr>
              <w:widowControl/>
              <w:spacing w:beforeAutospacing="0" w:afterAutospacing="0" w:line="580" w:lineRule="exact"/>
              <w:jc w:val="left"/>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仿宋_GB2312" w:cs="Times New Roman"/>
                <w:color w:val="auto"/>
                <w:kern w:val="0"/>
                <w:sz w:val="28"/>
                <w:szCs w:val="28"/>
                <w:lang w:val="en-US" w:eastAsia="zh-CN" w:bidi="ar-SA"/>
              </w:rPr>
              <w:t>不按照法律规定履行代理职责。</w:t>
            </w:r>
          </w:p>
        </w:tc>
      </w:tr>
    </w:tbl>
    <w:p w14:paraId="4D9F8089">
      <w:pPr>
        <w:widowControl/>
        <w:spacing w:line="580" w:lineRule="exact"/>
        <w:jc w:val="left"/>
        <w:rPr>
          <w:rFonts w:hint="default" w:ascii="Times New Roman" w:hAnsi="Times New Roman" w:eastAsia="仿宋_GB2312" w:cs="Times New Roman"/>
          <w:color w:val="auto"/>
          <w:kern w:val="0"/>
          <w:sz w:val="32"/>
          <w:szCs w:val="32"/>
        </w:rPr>
      </w:pPr>
    </w:p>
    <w:p w14:paraId="32697858">
      <w:pPr>
        <w:widowControl/>
        <w:spacing w:line="580" w:lineRule="exact"/>
        <w:jc w:val="left"/>
        <w:rPr>
          <w:rFonts w:hint="default" w:ascii="Times New Roman" w:hAnsi="Times New Roman" w:eastAsia="仿宋_GB2312" w:cs="Times New Roman"/>
          <w:color w:val="auto"/>
          <w:kern w:val="0"/>
          <w:sz w:val="32"/>
          <w:szCs w:val="32"/>
        </w:rPr>
      </w:pPr>
    </w:p>
    <w:p w14:paraId="2982D4C7">
      <w:pPr>
        <w:widowControl/>
        <w:spacing w:line="580" w:lineRule="exact"/>
        <w:jc w:val="left"/>
        <w:rPr>
          <w:rFonts w:hint="default" w:ascii="Times New Roman" w:hAnsi="Times New Roman" w:eastAsia="仿宋_GB2312" w:cs="Times New Roman"/>
          <w:color w:val="auto"/>
          <w:kern w:val="0"/>
          <w:sz w:val="32"/>
          <w:szCs w:val="32"/>
        </w:rPr>
      </w:pPr>
    </w:p>
    <w:p w14:paraId="0959BE4C">
      <w:pPr>
        <w:widowControl/>
        <w:spacing w:line="580" w:lineRule="exact"/>
        <w:jc w:val="left"/>
        <w:rPr>
          <w:rFonts w:hint="default" w:ascii="Times New Roman" w:hAnsi="Times New Roman" w:eastAsia="仿宋_GB2312" w:cs="Times New Roman"/>
          <w:color w:val="auto"/>
          <w:kern w:val="0"/>
          <w:sz w:val="32"/>
          <w:szCs w:val="32"/>
        </w:rPr>
      </w:pPr>
    </w:p>
    <w:p w14:paraId="5FDE40FB">
      <w:pPr>
        <w:widowControl/>
        <w:spacing w:line="580" w:lineRule="exact"/>
        <w:jc w:val="left"/>
        <w:rPr>
          <w:rFonts w:hint="default" w:ascii="Times New Roman" w:hAnsi="Times New Roman" w:eastAsia="仿宋_GB2312" w:cs="Times New Roman"/>
          <w:color w:val="auto"/>
          <w:kern w:val="0"/>
          <w:sz w:val="32"/>
          <w:szCs w:val="32"/>
        </w:rPr>
      </w:pPr>
    </w:p>
    <w:p w14:paraId="7751D221">
      <w:pPr>
        <w:widowControl/>
        <w:spacing w:line="580" w:lineRule="exact"/>
        <w:jc w:val="left"/>
        <w:rPr>
          <w:rFonts w:hint="default" w:ascii="Times New Roman" w:hAnsi="Times New Roman" w:eastAsia="仿宋_GB2312" w:cs="Times New Roman"/>
          <w:color w:val="auto"/>
          <w:kern w:val="0"/>
          <w:sz w:val="32"/>
          <w:szCs w:val="32"/>
        </w:rPr>
      </w:pPr>
    </w:p>
    <w:p w14:paraId="464565D8">
      <w:pPr>
        <w:spacing w:line="580" w:lineRule="exact"/>
        <w:jc w:val="left"/>
        <w:rPr>
          <w:rFonts w:hint="default" w:ascii="黑体" w:hAnsi="黑体" w:eastAsia="黑体" w:cs="黑体"/>
          <w:color w:val="auto"/>
          <w:kern w:val="0"/>
          <w:sz w:val="32"/>
          <w:szCs w:val="32"/>
        </w:rPr>
      </w:pPr>
      <w:r>
        <w:rPr>
          <w:rFonts w:hint="default" w:ascii="黑体" w:hAnsi="黑体" w:eastAsia="黑体" w:cs="黑体"/>
          <w:color w:val="auto"/>
          <w:kern w:val="0"/>
          <w:sz w:val="32"/>
          <w:szCs w:val="32"/>
        </w:rPr>
        <w:t>附件2</w:t>
      </w:r>
    </w:p>
    <w:p w14:paraId="55158A72">
      <w:pPr>
        <w:widowControl/>
        <w:spacing w:afterLines="50" w:line="580" w:lineRule="exact"/>
        <w:jc w:val="center"/>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造价咨询企业负面行为清单</w:t>
      </w:r>
    </w:p>
    <w:p w14:paraId="67FE45DC">
      <w:pPr>
        <w:spacing w:line="580" w:lineRule="exact"/>
        <w:jc w:val="center"/>
        <w:rPr>
          <w:rFonts w:hint="default" w:ascii="Times New Roman" w:hAnsi="Times New Roman" w:eastAsia="方正小标宋简体" w:cs="Times New Roman"/>
          <w:bCs/>
          <w:color w:val="auto"/>
          <w:sz w:val="44"/>
          <w:szCs w:val="44"/>
        </w:rPr>
      </w:pPr>
    </w:p>
    <w:tbl>
      <w:tblPr>
        <w:tblStyle w:val="5"/>
        <w:tblW w:w="5000" w:type="pct"/>
        <w:tblInd w:w="0" w:type="dxa"/>
        <w:tblLayout w:type="autofit"/>
        <w:tblCellMar>
          <w:top w:w="0" w:type="dxa"/>
          <w:left w:w="108" w:type="dxa"/>
          <w:bottom w:w="0" w:type="dxa"/>
          <w:right w:w="108" w:type="dxa"/>
        </w:tblCellMar>
      </w:tblPr>
      <w:tblGrid>
        <w:gridCol w:w="1422"/>
        <w:gridCol w:w="7638"/>
      </w:tblGrid>
      <w:tr w14:paraId="30412F16">
        <w:tblPrEx>
          <w:tblCellMar>
            <w:top w:w="0" w:type="dxa"/>
            <w:left w:w="108" w:type="dxa"/>
            <w:bottom w:w="0" w:type="dxa"/>
            <w:right w:w="108" w:type="dxa"/>
          </w:tblCellMar>
        </w:tblPrEx>
        <w:trPr>
          <w:trHeight w:val="450" w:hRule="atLeast"/>
        </w:trPr>
        <w:tc>
          <w:tcPr>
            <w:tcW w:w="785" w:type="pct"/>
            <w:tcBorders>
              <w:top w:val="single" w:color="auto" w:sz="6" w:space="0"/>
              <w:left w:val="single" w:color="auto" w:sz="6" w:space="0"/>
              <w:bottom w:val="single" w:color="auto" w:sz="6" w:space="0"/>
              <w:right w:val="single" w:color="auto" w:sz="6" w:space="0"/>
            </w:tcBorders>
            <w:vAlign w:val="center"/>
          </w:tcPr>
          <w:p w14:paraId="71E66925">
            <w:pPr>
              <w:spacing w:line="580" w:lineRule="exact"/>
              <w:jc w:val="center"/>
              <w:rPr>
                <w:rFonts w:hint="default" w:ascii="Times New Roman" w:hAnsi="Times New Roman" w:eastAsia="仿宋_GB2312" w:cs="Times New Roman"/>
                <w:b/>
                <w:bCs/>
                <w:color w:val="auto"/>
                <w:sz w:val="28"/>
                <w:szCs w:val="28"/>
              </w:rPr>
            </w:pPr>
            <w:r>
              <w:rPr>
                <w:rFonts w:hint="default" w:ascii="Times New Roman" w:hAnsi="Times New Roman" w:eastAsia="仿宋_GB2312" w:cs="Times New Roman"/>
                <w:b/>
                <w:bCs/>
                <w:color w:val="auto"/>
                <w:sz w:val="28"/>
                <w:szCs w:val="28"/>
              </w:rPr>
              <w:t>序号</w:t>
            </w:r>
          </w:p>
        </w:tc>
        <w:tc>
          <w:tcPr>
            <w:tcW w:w="4215" w:type="pct"/>
            <w:tcBorders>
              <w:top w:val="single" w:color="auto" w:sz="6" w:space="0"/>
              <w:left w:val="single" w:color="auto" w:sz="6" w:space="0"/>
              <w:bottom w:val="single" w:color="auto" w:sz="6" w:space="0"/>
              <w:right w:val="single" w:color="auto" w:sz="6" w:space="0"/>
            </w:tcBorders>
            <w:vAlign w:val="center"/>
          </w:tcPr>
          <w:p w14:paraId="1DC38998">
            <w:pPr>
              <w:spacing w:line="580" w:lineRule="exact"/>
              <w:jc w:val="center"/>
              <w:rPr>
                <w:rFonts w:hint="default" w:ascii="Times New Roman" w:hAnsi="Times New Roman" w:eastAsia="仿宋_GB2312" w:cs="Times New Roman"/>
                <w:b/>
                <w:bCs/>
                <w:color w:val="auto"/>
                <w:sz w:val="28"/>
                <w:szCs w:val="28"/>
              </w:rPr>
            </w:pPr>
            <w:r>
              <w:rPr>
                <w:rFonts w:hint="default" w:ascii="Times New Roman" w:hAnsi="Times New Roman" w:eastAsia="仿宋_GB2312" w:cs="Times New Roman"/>
                <w:b/>
                <w:bCs/>
                <w:color w:val="auto"/>
                <w:sz w:val="28"/>
                <w:szCs w:val="28"/>
              </w:rPr>
              <w:t>负面行为内容</w:t>
            </w:r>
          </w:p>
        </w:tc>
      </w:tr>
      <w:tr w14:paraId="755E8AFD">
        <w:tblPrEx>
          <w:tblCellMar>
            <w:top w:w="0" w:type="dxa"/>
            <w:left w:w="108" w:type="dxa"/>
            <w:bottom w:w="0" w:type="dxa"/>
            <w:right w:w="108" w:type="dxa"/>
          </w:tblCellMar>
        </w:tblPrEx>
        <w:trPr>
          <w:trHeight w:val="90" w:hRule="atLeast"/>
        </w:trPr>
        <w:tc>
          <w:tcPr>
            <w:tcW w:w="785" w:type="pct"/>
            <w:tcBorders>
              <w:top w:val="single" w:color="auto" w:sz="6" w:space="0"/>
              <w:left w:val="single" w:color="auto" w:sz="6" w:space="0"/>
              <w:bottom w:val="single" w:color="auto" w:sz="6" w:space="0"/>
              <w:right w:val="single" w:color="auto" w:sz="6" w:space="0"/>
            </w:tcBorders>
            <w:vAlign w:val="center"/>
          </w:tcPr>
          <w:p w14:paraId="57E0BEF6">
            <w:pPr>
              <w:spacing w:line="580" w:lineRule="exact"/>
              <w:jc w:val="center"/>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1</w:t>
            </w:r>
          </w:p>
        </w:tc>
        <w:tc>
          <w:tcPr>
            <w:tcW w:w="4215" w:type="pct"/>
            <w:tcBorders>
              <w:top w:val="single" w:color="auto" w:sz="6" w:space="0"/>
              <w:left w:val="single" w:color="auto" w:sz="6" w:space="0"/>
              <w:bottom w:val="single" w:color="auto" w:sz="6" w:space="0"/>
              <w:right w:val="single" w:color="auto" w:sz="6" w:space="0"/>
            </w:tcBorders>
            <w:vAlign w:val="center"/>
          </w:tcPr>
          <w:p w14:paraId="684DFFC3">
            <w:pPr>
              <w:spacing w:line="580" w:lineRule="exact"/>
              <w:jc w:val="left"/>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造价咨询企业同时接受招标人和投标人或两个以上投标人对同一工程项目的工程造价咨询业务的。</w:t>
            </w:r>
          </w:p>
        </w:tc>
      </w:tr>
      <w:tr w14:paraId="6D9C1AEB">
        <w:tblPrEx>
          <w:tblCellMar>
            <w:top w:w="0" w:type="dxa"/>
            <w:left w:w="108" w:type="dxa"/>
            <w:bottom w:w="0" w:type="dxa"/>
            <w:right w:w="108" w:type="dxa"/>
          </w:tblCellMar>
        </w:tblPrEx>
        <w:trPr>
          <w:trHeight w:val="450" w:hRule="atLeast"/>
        </w:trPr>
        <w:tc>
          <w:tcPr>
            <w:tcW w:w="785" w:type="pct"/>
            <w:tcBorders>
              <w:top w:val="single" w:color="auto" w:sz="6" w:space="0"/>
              <w:left w:val="single" w:color="auto" w:sz="6" w:space="0"/>
              <w:bottom w:val="single" w:color="auto" w:sz="6" w:space="0"/>
              <w:right w:val="single" w:color="auto" w:sz="6" w:space="0"/>
            </w:tcBorders>
            <w:vAlign w:val="center"/>
          </w:tcPr>
          <w:p w14:paraId="600F1E36">
            <w:pPr>
              <w:spacing w:line="580" w:lineRule="exact"/>
              <w:jc w:val="center"/>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2</w:t>
            </w:r>
          </w:p>
        </w:tc>
        <w:tc>
          <w:tcPr>
            <w:tcW w:w="4215" w:type="pct"/>
            <w:tcBorders>
              <w:top w:val="single" w:color="auto" w:sz="6" w:space="0"/>
              <w:left w:val="single" w:color="auto" w:sz="6" w:space="0"/>
              <w:bottom w:val="single" w:color="auto" w:sz="6" w:space="0"/>
              <w:right w:val="single" w:color="auto" w:sz="6" w:space="0"/>
            </w:tcBorders>
            <w:vAlign w:val="center"/>
          </w:tcPr>
          <w:p w14:paraId="283AB0E4">
            <w:pPr>
              <w:spacing w:line="580" w:lineRule="exact"/>
              <w:jc w:val="left"/>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造价咨询企业以给予回扣、恶意压低收费等方式进行不正当竞争的。</w:t>
            </w:r>
          </w:p>
        </w:tc>
      </w:tr>
      <w:tr w14:paraId="5CD2574C">
        <w:tblPrEx>
          <w:tblCellMar>
            <w:top w:w="0" w:type="dxa"/>
            <w:left w:w="108" w:type="dxa"/>
            <w:bottom w:w="0" w:type="dxa"/>
            <w:right w:w="108" w:type="dxa"/>
          </w:tblCellMar>
        </w:tblPrEx>
        <w:trPr>
          <w:trHeight w:val="450" w:hRule="atLeast"/>
        </w:trPr>
        <w:tc>
          <w:tcPr>
            <w:tcW w:w="785" w:type="pct"/>
            <w:tcBorders>
              <w:top w:val="single" w:color="auto" w:sz="6" w:space="0"/>
              <w:left w:val="single" w:color="auto" w:sz="6" w:space="0"/>
              <w:bottom w:val="single" w:color="auto" w:sz="6" w:space="0"/>
              <w:right w:val="single" w:color="auto" w:sz="6" w:space="0"/>
            </w:tcBorders>
            <w:vAlign w:val="center"/>
          </w:tcPr>
          <w:p w14:paraId="41AD3155">
            <w:pPr>
              <w:spacing w:line="580" w:lineRule="exact"/>
              <w:jc w:val="center"/>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3</w:t>
            </w:r>
          </w:p>
        </w:tc>
        <w:tc>
          <w:tcPr>
            <w:tcW w:w="4215" w:type="pct"/>
            <w:tcBorders>
              <w:top w:val="single" w:color="auto" w:sz="6" w:space="0"/>
              <w:left w:val="single" w:color="auto" w:sz="6" w:space="0"/>
              <w:bottom w:val="single" w:color="auto" w:sz="6" w:space="0"/>
              <w:right w:val="single" w:color="auto" w:sz="6" w:space="0"/>
            </w:tcBorders>
            <w:vAlign w:val="center"/>
          </w:tcPr>
          <w:p w14:paraId="244BA7CF">
            <w:pPr>
              <w:spacing w:line="580" w:lineRule="exact"/>
              <w:jc w:val="left"/>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造价咨询企业转包承接的工程造价咨询业务的。</w:t>
            </w:r>
          </w:p>
        </w:tc>
      </w:tr>
      <w:tr w14:paraId="09CA2EA6">
        <w:tblPrEx>
          <w:tblCellMar>
            <w:top w:w="0" w:type="dxa"/>
            <w:left w:w="108" w:type="dxa"/>
            <w:bottom w:w="0" w:type="dxa"/>
            <w:right w:w="108" w:type="dxa"/>
          </w:tblCellMar>
        </w:tblPrEx>
        <w:trPr>
          <w:trHeight w:val="1020" w:hRule="atLeast"/>
        </w:trPr>
        <w:tc>
          <w:tcPr>
            <w:tcW w:w="785" w:type="pct"/>
            <w:tcBorders>
              <w:top w:val="single" w:color="auto" w:sz="6" w:space="0"/>
              <w:left w:val="single" w:color="auto" w:sz="6" w:space="0"/>
              <w:bottom w:val="single" w:color="auto" w:sz="6" w:space="0"/>
              <w:right w:val="single" w:color="auto" w:sz="6" w:space="0"/>
            </w:tcBorders>
            <w:vAlign w:val="center"/>
          </w:tcPr>
          <w:p w14:paraId="2191BDDB">
            <w:pPr>
              <w:spacing w:line="580" w:lineRule="exact"/>
              <w:jc w:val="center"/>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4</w:t>
            </w:r>
          </w:p>
        </w:tc>
        <w:tc>
          <w:tcPr>
            <w:tcW w:w="4215" w:type="pct"/>
            <w:tcBorders>
              <w:top w:val="single" w:color="auto" w:sz="6" w:space="0"/>
              <w:left w:val="single" w:color="auto" w:sz="6" w:space="0"/>
              <w:bottom w:val="single" w:color="auto" w:sz="6" w:space="0"/>
              <w:right w:val="single" w:color="auto" w:sz="6" w:space="0"/>
            </w:tcBorders>
            <w:vAlign w:val="center"/>
          </w:tcPr>
          <w:p w14:paraId="45E76ED2">
            <w:pPr>
              <w:spacing w:line="580" w:lineRule="exact"/>
              <w:jc w:val="left"/>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工程造价咨询企业在建筑工程计价活动中，出具有虚假记载、误导性陈述的工程造价成果文件的。</w:t>
            </w:r>
          </w:p>
        </w:tc>
      </w:tr>
      <w:tr w14:paraId="0900AF7F">
        <w:tblPrEx>
          <w:tblCellMar>
            <w:top w:w="0" w:type="dxa"/>
            <w:left w:w="108" w:type="dxa"/>
            <w:bottom w:w="0" w:type="dxa"/>
            <w:right w:w="108" w:type="dxa"/>
          </w:tblCellMar>
        </w:tblPrEx>
        <w:trPr>
          <w:trHeight w:val="1020" w:hRule="atLeast"/>
        </w:trPr>
        <w:tc>
          <w:tcPr>
            <w:tcW w:w="785" w:type="pct"/>
            <w:tcBorders>
              <w:top w:val="single" w:color="auto" w:sz="6" w:space="0"/>
              <w:left w:val="single" w:color="auto" w:sz="6" w:space="0"/>
              <w:bottom w:val="single" w:color="auto" w:sz="6" w:space="0"/>
              <w:right w:val="single" w:color="auto" w:sz="6" w:space="0"/>
            </w:tcBorders>
            <w:vAlign w:val="center"/>
          </w:tcPr>
          <w:p w14:paraId="2D6D2B39">
            <w:pPr>
              <w:spacing w:line="580" w:lineRule="exact"/>
              <w:jc w:val="center"/>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5</w:t>
            </w:r>
          </w:p>
        </w:tc>
        <w:tc>
          <w:tcPr>
            <w:tcW w:w="4215" w:type="pct"/>
            <w:tcBorders>
              <w:top w:val="single" w:color="auto" w:sz="6" w:space="0"/>
              <w:left w:val="single" w:color="auto" w:sz="6" w:space="0"/>
              <w:bottom w:val="single" w:color="auto" w:sz="6" w:space="0"/>
              <w:right w:val="single" w:color="auto" w:sz="6" w:space="0"/>
            </w:tcBorders>
            <w:vAlign w:val="center"/>
          </w:tcPr>
          <w:p w14:paraId="2A9BD68B">
            <w:pPr>
              <w:spacing w:line="580" w:lineRule="exact"/>
              <w:jc w:val="left"/>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工程造价咨询企业提交成果不及时的。</w:t>
            </w:r>
          </w:p>
        </w:tc>
      </w:tr>
      <w:tr w14:paraId="07FE52D1">
        <w:tblPrEx>
          <w:tblCellMar>
            <w:top w:w="0" w:type="dxa"/>
            <w:left w:w="108" w:type="dxa"/>
            <w:bottom w:w="0" w:type="dxa"/>
            <w:right w:w="108" w:type="dxa"/>
          </w:tblCellMar>
        </w:tblPrEx>
        <w:trPr>
          <w:trHeight w:val="1020" w:hRule="atLeast"/>
        </w:trPr>
        <w:tc>
          <w:tcPr>
            <w:tcW w:w="785" w:type="pct"/>
            <w:tcBorders>
              <w:top w:val="single" w:color="auto" w:sz="6" w:space="0"/>
              <w:left w:val="single" w:color="auto" w:sz="6" w:space="0"/>
              <w:bottom w:val="single" w:color="auto" w:sz="6" w:space="0"/>
              <w:right w:val="single" w:color="auto" w:sz="6" w:space="0"/>
            </w:tcBorders>
            <w:vAlign w:val="center"/>
          </w:tcPr>
          <w:p w14:paraId="30A370BA">
            <w:pPr>
              <w:spacing w:line="580" w:lineRule="exact"/>
              <w:jc w:val="center"/>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6</w:t>
            </w:r>
          </w:p>
        </w:tc>
        <w:tc>
          <w:tcPr>
            <w:tcW w:w="4215" w:type="pct"/>
            <w:tcBorders>
              <w:top w:val="single" w:color="auto" w:sz="6" w:space="0"/>
              <w:left w:val="single" w:color="auto" w:sz="6" w:space="0"/>
              <w:bottom w:val="single" w:color="auto" w:sz="6" w:space="0"/>
              <w:right w:val="single" w:color="auto" w:sz="6" w:space="0"/>
            </w:tcBorders>
            <w:vAlign w:val="center"/>
          </w:tcPr>
          <w:p w14:paraId="06A1C77B">
            <w:pPr>
              <w:spacing w:line="580" w:lineRule="exact"/>
              <w:jc w:val="left"/>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工程造价咨询企业出具高估冒算、低估少算等不实的工程造价成果文件，造成国有资产流失或不良影响后果的。</w:t>
            </w:r>
          </w:p>
        </w:tc>
      </w:tr>
      <w:tr w14:paraId="042C474C">
        <w:tblPrEx>
          <w:tblCellMar>
            <w:top w:w="0" w:type="dxa"/>
            <w:left w:w="108" w:type="dxa"/>
            <w:bottom w:w="0" w:type="dxa"/>
            <w:right w:w="108" w:type="dxa"/>
          </w:tblCellMar>
        </w:tblPrEx>
        <w:trPr>
          <w:trHeight w:val="1020" w:hRule="atLeast"/>
        </w:trPr>
        <w:tc>
          <w:tcPr>
            <w:tcW w:w="785" w:type="pct"/>
            <w:tcBorders>
              <w:top w:val="single" w:color="auto" w:sz="6" w:space="0"/>
              <w:left w:val="single" w:color="auto" w:sz="6" w:space="0"/>
              <w:bottom w:val="single" w:color="auto" w:sz="6" w:space="0"/>
              <w:right w:val="single" w:color="auto" w:sz="6" w:space="0"/>
            </w:tcBorders>
            <w:vAlign w:val="center"/>
          </w:tcPr>
          <w:p w14:paraId="734520D3">
            <w:pPr>
              <w:spacing w:line="580" w:lineRule="exact"/>
              <w:jc w:val="center"/>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7</w:t>
            </w:r>
          </w:p>
        </w:tc>
        <w:tc>
          <w:tcPr>
            <w:tcW w:w="4215" w:type="pct"/>
            <w:tcBorders>
              <w:top w:val="single" w:color="auto" w:sz="6" w:space="0"/>
              <w:left w:val="single" w:color="auto" w:sz="6" w:space="0"/>
              <w:bottom w:val="single" w:color="auto" w:sz="6" w:space="0"/>
              <w:right w:val="single" w:color="auto" w:sz="6" w:space="0"/>
            </w:tcBorders>
            <w:vAlign w:val="center"/>
          </w:tcPr>
          <w:p w14:paraId="0C7143B5">
            <w:pPr>
              <w:spacing w:line="580" w:lineRule="exact"/>
              <w:jc w:val="left"/>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造价咨询企业承揽开平市项目，成果质量差，被省、江门市及开平市有关单位实施通报批评的。</w:t>
            </w:r>
          </w:p>
        </w:tc>
      </w:tr>
      <w:tr w14:paraId="45794821">
        <w:tblPrEx>
          <w:tblCellMar>
            <w:top w:w="0" w:type="dxa"/>
            <w:left w:w="108" w:type="dxa"/>
            <w:bottom w:w="0" w:type="dxa"/>
            <w:right w:w="108" w:type="dxa"/>
          </w:tblCellMar>
        </w:tblPrEx>
        <w:trPr>
          <w:trHeight w:val="980" w:hRule="atLeast"/>
        </w:trPr>
        <w:tc>
          <w:tcPr>
            <w:tcW w:w="785" w:type="pct"/>
            <w:tcBorders>
              <w:top w:val="single" w:color="auto" w:sz="6" w:space="0"/>
              <w:left w:val="single" w:color="auto" w:sz="6" w:space="0"/>
              <w:bottom w:val="single" w:color="auto" w:sz="6" w:space="0"/>
              <w:right w:val="single" w:color="auto" w:sz="6" w:space="0"/>
            </w:tcBorders>
            <w:vAlign w:val="center"/>
          </w:tcPr>
          <w:p w14:paraId="75832FF4">
            <w:pPr>
              <w:spacing w:line="580" w:lineRule="exact"/>
              <w:jc w:val="center"/>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8</w:t>
            </w:r>
          </w:p>
        </w:tc>
        <w:tc>
          <w:tcPr>
            <w:tcW w:w="4215" w:type="pct"/>
            <w:tcBorders>
              <w:top w:val="single" w:color="auto" w:sz="6" w:space="0"/>
              <w:left w:val="single" w:color="auto" w:sz="6" w:space="0"/>
              <w:bottom w:val="single" w:color="auto" w:sz="6" w:space="0"/>
              <w:right w:val="single" w:color="auto" w:sz="6" w:space="0"/>
            </w:tcBorders>
            <w:vAlign w:val="center"/>
          </w:tcPr>
          <w:p w14:paraId="23F03447">
            <w:pPr>
              <w:spacing w:line="580" w:lineRule="exact"/>
              <w:jc w:val="left"/>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建设工程造价执（从）业人员在从业过程中，行贿、索贿、受贿或者谋取合同约定费用外的其他利益的。</w:t>
            </w:r>
          </w:p>
        </w:tc>
      </w:tr>
      <w:tr w14:paraId="14B1068F">
        <w:tblPrEx>
          <w:tblCellMar>
            <w:top w:w="0" w:type="dxa"/>
            <w:left w:w="108" w:type="dxa"/>
            <w:bottom w:w="0" w:type="dxa"/>
            <w:right w:w="108" w:type="dxa"/>
          </w:tblCellMar>
        </w:tblPrEx>
        <w:trPr>
          <w:trHeight w:val="800" w:hRule="atLeast"/>
        </w:trPr>
        <w:tc>
          <w:tcPr>
            <w:tcW w:w="785" w:type="pct"/>
            <w:tcBorders>
              <w:top w:val="single" w:color="auto" w:sz="6" w:space="0"/>
              <w:left w:val="single" w:color="auto" w:sz="6" w:space="0"/>
              <w:bottom w:val="single" w:color="auto" w:sz="6" w:space="0"/>
              <w:right w:val="single" w:color="auto" w:sz="6" w:space="0"/>
            </w:tcBorders>
            <w:vAlign w:val="center"/>
          </w:tcPr>
          <w:p w14:paraId="4ADE4001">
            <w:pPr>
              <w:spacing w:line="580" w:lineRule="exact"/>
              <w:jc w:val="center"/>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9</w:t>
            </w:r>
          </w:p>
        </w:tc>
        <w:tc>
          <w:tcPr>
            <w:tcW w:w="4215" w:type="pct"/>
            <w:tcBorders>
              <w:top w:val="single" w:color="auto" w:sz="6" w:space="0"/>
              <w:left w:val="single" w:color="auto" w:sz="6" w:space="0"/>
              <w:bottom w:val="single" w:color="auto" w:sz="6" w:space="0"/>
              <w:right w:val="single" w:color="auto" w:sz="6" w:space="0"/>
            </w:tcBorders>
            <w:vAlign w:val="center"/>
          </w:tcPr>
          <w:p w14:paraId="5A898C37">
            <w:pPr>
              <w:spacing w:line="580" w:lineRule="exact"/>
              <w:jc w:val="left"/>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建设工程造价执（从）业人员以个人名义承接工程造价业务的。</w:t>
            </w:r>
          </w:p>
        </w:tc>
      </w:tr>
      <w:tr w14:paraId="4A9CD4AB">
        <w:tblPrEx>
          <w:tblCellMar>
            <w:top w:w="0" w:type="dxa"/>
            <w:left w:w="108" w:type="dxa"/>
            <w:bottom w:w="0" w:type="dxa"/>
            <w:right w:w="108" w:type="dxa"/>
          </w:tblCellMar>
        </w:tblPrEx>
        <w:trPr>
          <w:trHeight w:val="800" w:hRule="atLeast"/>
        </w:trPr>
        <w:tc>
          <w:tcPr>
            <w:tcW w:w="785" w:type="pct"/>
            <w:tcBorders>
              <w:top w:val="single" w:color="auto" w:sz="6" w:space="0"/>
              <w:left w:val="single" w:color="auto" w:sz="6" w:space="0"/>
              <w:bottom w:val="single" w:color="auto" w:sz="6" w:space="0"/>
              <w:right w:val="single" w:color="auto" w:sz="6" w:space="0"/>
            </w:tcBorders>
            <w:vAlign w:val="center"/>
          </w:tcPr>
          <w:p w14:paraId="640E04EE">
            <w:pPr>
              <w:spacing w:line="580" w:lineRule="exact"/>
              <w:jc w:val="center"/>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10</w:t>
            </w:r>
          </w:p>
        </w:tc>
        <w:tc>
          <w:tcPr>
            <w:tcW w:w="4215" w:type="pct"/>
            <w:tcBorders>
              <w:top w:val="single" w:color="auto" w:sz="6" w:space="0"/>
              <w:left w:val="single" w:color="auto" w:sz="6" w:space="0"/>
              <w:bottom w:val="single" w:color="auto" w:sz="6" w:space="0"/>
              <w:right w:val="single" w:color="auto" w:sz="6" w:space="0"/>
            </w:tcBorders>
            <w:vAlign w:val="center"/>
          </w:tcPr>
          <w:p w14:paraId="14F4124F">
            <w:pPr>
              <w:spacing w:line="580" w:lineRule="exact"/>
              <w:jc w:val="left"/>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建设工程造价执（从）业人员允许他人以自己名义从事工程造价业务的。</w:t>
            </w:r>
          </w:p>
        </w:tc>
      </w:tr>
      <w:tr w14:paraId="1E76E7DD">
        <w:tblPrEx>
          <w:tblCellMar>
            <w:top w:w="0" w:type="dxa"/>
            <w:left w:w="108" w:type="dxa"/>
            <w:bottom w:w="0" w:type="dxa"/>
            <w:right w:w="108" w:type="dxa"/>
          </w:tblCellMar>
        </w:tblPrEx>
        <w:trPr>
          <w:trHeight w:val="800" w:hRule="atLeast"/>
        </w:trPr>
        <w:tc>
          <w:tcPr>
            <w:tcW w:w="785" w:type="pct"/>
            <w:tcBorders>
              <w:top w:val="single" w:color="auto" w:sz="6" w:space="0"/>
              <w:left w:val="single" w:color="auto" w:sz="6" w:space="0"/>
              <w:bottom w:val="single" w:color="auto" w:sz="6" w:space="0"/>
              <w:right w:val="single" w:color="auto" w:sz="6" w:space="0"/>
            </w:tcBorders>
            <w:vAlign w:val="center"/>
          </w:tcPr>
          <w:p w14:paraId="12B44DDE">
            <w:pPr>
              <w:spacing w:line="580" w:lineRule="exact"/>
              <w:jc w:val="center"/>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11</w:t>
            </w:r>
          </w:p>
        </w:tc>
        <w:tc>
          <w:tcPr>
            <w:tcW w:w="4215" w:type="pct"/>
            <w:tcBorders>
              <w:top w:val="single" w:color="auto" w:sz="6" w:space="0"/>
              <w:left w:val="single" w:color="auto" w:sz="6" w:space="0"/>
              <w:bottom w:val="single" w:color="auto" w:sz="6" w:space="0"/>
              <w:right w:val="single" w:color="auto" w:sz="6" w:space="0"/>
            </w:tcBorders>
            <w:vAlign w:val="center"/>
          </w:tcPr>
          <w:p w14:paraId="002DCBA1">
            <w:pPr>
              <w:spacing w:line="580" w:lineRule="exact"/>
              <w:jc w:val="left"/>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建设工程造价执（从）业人员同时在两个或者两个以上单位从业的。</w:t>
            </w:r>
          </w:p>
        </w:tc>
      </w:tr>
      <w:tr w14:paraId="3A8B2CB6">
        <w:tblPrEx>
          <w:tblCellMar>
            <w:top w:w="0" w:type="dxa"/>
            <w:left w:w="108" w:type="dxa"/>
            <w:bottom w:w="0" w:type="dxa"/>
            <w:right w:w="108" w:type="dxa"/>
          </w:tblCellMar>
        </w:tblPrEx>
        <w:trPr>
          <w:trHeight w:val="800" w:hRule="atLeast"/>
        </w:trPr>
        <w:tc>
          <w:tcPr>
            <w:tcW w:w="785" w:type="pct"/>
            <w:tcBorders>
              <w:top w:val="single" w:color="auto" w:sz="6" w:space="0"/>
              <w:left w:val="single" w:color="auto" w:sz="6" w:space="0"/>
              <w:bottom w:val="single" w:color="auto" w:sz="6" w:space="0"/>
              <w:right w:val="single" w:color="auto" w:sz="6" w:space="0"/>
            </w:tcBorders>
            <w:vAlign w:val="center"/>
          </w:tcPr>
          <w:p w14:paraId="64C82E63">
            <w:pPr>
              <w:spacing w:line="580" w:lineRule="exact"/>
              <w:jc w:val="center"/>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12</w:t>
            </w:r>
          </w:p>
        </w:tc>
        <w:tc>
          <w:tcPr>
            <w:tcW w:w="4215" w:type="pct"/>
            <w:tcBorders>
              <w:top w:val="single" w:color="auto" w:sz="6" w:space="0"/>
              <w:left w:val="single" w:color="auto" w:sz="6" w:space="0"/>
              <w:bottom w:val="single" w:color="auto" w:sz="6" w:space="0"/>
              <w:right w:val="single" w:color="auto" w:sz="6" w:space="0"/>
            </w:tcBorders>
            <w:vAlign w:val="center"/>
          </w:tcPr>
          <w:p w14:paraId="44EBA883">
            <w:pPr>
              <w:spacing w:line="580" w:lineRule="exact"/>
              <w:jc w:val="left"/>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建设工程造价执（从）业人员涂改、倒卖、出租、出借或者以其他形式非法转让注册证书、资格证书或者从业印章的。</w:t>
            </w:r>
          </w:p>
        </w:tc>
      </w:tr>
      <w:tr w14:paraId="7890AB4A">
        <w:tblPrEx>
          <w:tblCellMar>
            <w:top w:w="0" w:type="dxa"/>
            <w:left w:w="108" w:type="dxa"/>
            <w:bottom w:w="0" w:type="dxa"/>
            <w:right w:w="108" w:type="dxa"/>
          </w:tblCellMar>
        </w:tblPrEx>
        <w:trPr>
          <w:trHeight w:val="800" w:hRule="atLeast"/>
        </w:trPr>
        <w:tc>
          <w:tcPr>
            <w:tcW w:w="785" w:type="pct"/>
            <w:tcBorders>
              <w:top w:val="single" w:color="auto" w:sz="6" w:space="0"/>
              <w:left w:val="single" w:color="auto" w:sz="6" w:space="0"/>
              <w:bottom w:val="single" w:color="auto" w:sz="6" w:space="0"/>
              <w:right w:val="single" w:color="auto" w:sz="6" w:space="0"/>
            </w:tcBorders>
            <w:vAlign w:val="center"/>
          </w:tcPr>
          <w:p w14:paraId="0EF030B6">
            <w:pPr>
              <w:spacing w:line="580" w:lineRule="exact"/>
              <w:jc w:val="center"/>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13</w:t>
            </w:r>
          </w:p>
        </w:tc>
        <w:tc>
          <w:tcPr>
            <w:tcW w:w="4215" w:type="pct"/>
            <w:tcBorders>
              <w:top w:val="single" w:color="auto" w:sz="6" w:space="0"/>
              <w:left w:val="single" w:color="auto" w:sz="6" w:space="0"/>
              <w:bottom w:val="single" w:color="auto" w:sz="6" w:space="0"/>
              <w:right w:val="single" w:color="auto" w:sz="6" w:space="0"/>
            </w:tcBorders>
            <w:vAlign w:val="center"/>
          </w:tcPr>
          <w:p w14:paraId="7F8648D8">
            <w:pPr>
              <w:spacing w:line="580" w:lineRule="exact"/>
              <w:jc w:val="left"/>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未经注册而以注册造价工程师的名义从事工程造价活动的。</w:t>
            </w:r>
          </w:p>
        </w:tc>
      </w:tr>
      <w:tr w14:paraId="7D202DEB">
        <w:tblPrEx>
          <w:tblCellMar>
            <w:top w:w="0" w:type="dxa"/>
            <w:left w:w="108" w:type="dxa"/>
            <w:bottom w:w="0" w:type="dxa"/>
            <w:right w:w="108" w:type="dxa"/>
          </w:tblCellMar>
        </w:tblPrEx>
        <w:trPr>
          <w:trHeight w:val="800" w:hRule="atLeast"/>
        </w:trPr>
        <w:tc>
          <w:tcPr>
            <w:tcW w:w="785" w:type="pct"/>
            <w:tcBorders>
              <w:top w:val="single" w:color="auto" w:sz="6" w:space="0"/>
              <w:left w:val="single" w:color="auto" w:sz="6" w:space="0"/>
              <w:bottom w:val="single" w:color="auto" w:sz="6" w:space="0"/>
              <w:right w:val="single" w:color="auto" w:sz="6" w:space="0"/>
            </w:tcBorders>
            <w:vAlign w:val="center"/>
          </w:tcPr>
          <w:p w14:paraId="40D0A05E">
            <w:pPr>
              <w:spacing w:line="580" w:lineRule="exact"/>
              <w:jc w:val="center"/>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14</w:t>
            </w:r>
          </w:p>
        </w:tc>
        <w:tc>
          <w:tcPr>
            <w:tcW w:w="4215" w:type="pct"/>
            <w:tcBorders>
              <w:top w:val="single" w:color="auto" w:sz="6" w:space="0"/>
              <w:left w:val="single" w:color="auto" w:sz="6" w:space="0"/>
              <w:bottom w:val="single" w:color="auto" w:sz="6" w:space="0"/>
              <w:right w:val="single" w:color="auto" w:sz="6" w:space="0"/>
            </w:tcBorders>
            <w:vAlign w:val="center"/>
          </w:tcPr>
          <w:p w14:paraId="175E9CBD">
            <w:pPr>
              <w:spacing w:line="580" w:lineRule="exact"/>
              <w:jc w:val="left"/>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注册造价工程师签署有虚假记载、误导性陈述的工程造价成果文件的。</w:t>
            </w:r>
          </w:p>
        </w:tc>
      </w:tr>
      <w:tr w14:paraId="27AFAC7A">
        <w:tblPrEx>
          <w:tblCellMar>
            <w:top w:w="0" w:type="dxa"/>
            <w:left w:w="108" w:type="dxa"/>
            <w:bottom w:w="0" w:type="dxa"/>
            <w:right w:w="108" w:type="dxa"/>
          </w:tblCellMar>
        </w:tblPrEx>
        <w:trPr>
          <w:trHeight w:val="800" w:hRule="atLeast"/>
        </w:trPr>
        <w:tc>
          <w:tcPr>
            <w:tcW w:w="785" w:type="pct"/>
            <w:tcBorders>
              <w:top w:val="single" w:color="auto" w:sz="6" w:space="0"/>
              <w:left w:val="single" w:color="auto" w:sz="6" w:space="0"/>
              <w:bottom w:val="single" w:color="auto" w:sz="6" w:space="0"/>
              <w:right w:val="single" w:color="auto" w:sz="6" w:space="0"/>
            </w:tcBorders>
            <w:vAlign w:val="center"/>
          </w:tcPr>
          <w:p w14:paraId="63CB6200">
            <w:pPr>
              <w:spacing w:line="580" w:lineRule="exact"/>
              <w:jc w:val="center"/>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15</w:t>
            </w:r>
          </w:p>
        </w:tc>
        <w:tc>
          <w:tcPr>
            <w:tcW w:w="4215" w:type="pct"/>
            <w:tcBorders>
              <w:top w:val="single" w:color="auto" w:sz="6" w:space="0"/>
              <w:left w:val="single" w:color="auto" w:sz="6" w:space="0"/>
              <w:bottom w:val="single" w:color="auto" w:sz="6" w:space="0"/>
              <w:right w:val="single" w:color="auto" w:sz="6" w:space="0"/>
            </w:tcBorders>
            <w:vAlign w:val="center"/>
          </w:tcPr>
          <w:p w14:paraId="3EFCEDAE">
            <w:pPr>
              <w:spacing w:line="580" w:lineRule="exact"/>
              <w:jc w:val="left"/>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注册造价工程师涂改、倒卖、出租、出借或者以其他形式非法转让注册证书或者执业印章的。</w:t>
            </w:r>
          </w:p>
        </w:tc>
      </w:tr>
      <w:tr w14:paraId="4A24E52A">
        <w:tblPrEx>
          <w:tblCellMar>
            <w:top w:w="0" w:type="dxa"/>
            <w:left w:w="108" w:type="dxa"/>
            <w:bottom w:w="0" w:type="dxa"/>
            <w:right w:w="108" w:type="dxa"/>
          </w:tblCellMar>
        </w:tblPrEx>
        <w:trPr>
          <w:trHeight w:val="800" w:hRule="atLeast"/>
        </w:trPr>
        <w:tc>
          <w:tcPr>
            <w:tcW w:w="785" w:type="pct"/>
            <w:tcBorders>
              <w:top w:val="single" w:color="auto" w:sz="6" w:space="0"/>
              <w:left w:val="single" w:color="auto" w:sz="6" w:space="0"/>
              <w:bottom w:val="single" w:color="auto" w:sz="6" w:space="0"/>
              <w:right w:val="single" w:color="auto" w:sz="6" w:space="0"/>
            </w:tcBorders>
            <w:vAlign w:val="center"/>
          </w:tcPr>
          <w:p w14:paraId="2B69BE58">
            <w:pPr>
              <w:spacing w:line="580" w:lineRule="exact"/>
              <w:jc w:val="center"/>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16</w:t>
            </w:r>
          </w:p>
        </w:tc>
        <w:tc>
          <w:tcPr>
            <w:tcW w:w="4215" w:type="pct"/>
            <w:tcBorders>
              <w:top w:val="single" w:color="auto" w:sz="6" w:space="0"/>
              <w:left w:val="single" w:color="auto" w:sz="6" w:space="0"/>
              <w:bottom w:val="single" w:color="auto" w:sz="6" w:space="0"/>
              <w:right w:val="single" w:color="auto" w:sz="6" w:space="0"/>
            </w:tcBorders>
            <w:vAlign w:val="center"/>
          </w:tcPr>
          <w:p w14:paraId="2C55098F">
            <w:pPr>
              <w:spacing w:line="580" w:lineRule="exact"/>
              <w:jc w:val="left"/>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注册造价师超出执业范围、注册专业范围执业的。</w:t>
            </w:r>
          </w:p>
        </w:tc>
      </w:tr>
    </w:tbl>
    <w:p w14:paraId="3462997B">
      <w:pPr>
        <w:widowControl/>
        <w:spacing w:afterLines="50" w:line="580" w:lineRule="exact"/>
        <w:jc w:val="center"/>
        <w:rPr>
          <w:rFonts w:hint="default" w:ascii="Times New Roman" w:hAnsi="Times New Roman" w:eastAsia="宋体" w:cs="Times New Roman"/>
          <w:color w:val="auto"/>
        </w:rPr>
      </w:pPr>
    </w:p>
    <w:p w14:paraId="623D9154">
      <w:pPr>
        <w:widowControl/>
        <w:spacing w:line="580" w:lineRule="exact"/>
        <w:jc w:val="left"/>
        <w:rPr>
          <w:rFonts w:hint="default" w:ascii="Times New Roman" w:hAnsi="Times New Roman" w:eastAsia="仿宋_GB2312" w:cs="Times New Roman"/>
          <w:color w:val="auto"/>
          <w:sz w:val="32"/>
          <w:szCs w:val="32"/>
        </w:rPr>
      </w:pPr>
    </w:p>
    <w:p w14:paraId="55B1A601">
      <w:pPr>
        <w:widowControl/>
        <w:spacing w:line="580" w:lineRule="exact"/>
        <w:jc w:val="left"/>
        <w:rPr>
          <w:rFonts w:hint="default" w:ascii="Times New Roman" w:hAnsi="Times New Roman" w:eastAsia="仿宋_GB2312" w:cs="Times New Roman"/>
          <w:color w:val="auto"/>
          <w:sz w:val="32"/>
          <w:szCs w:val="32"/>
        </w:rPr>
      </w:pPr>
    </w:p>
    <w:p w14:paraId="180CF588">
      <w:pPr>
        <w:widowControl/>
        <w:spacing w:line="580" w:lineRule="exact"/>
        <w:jc w:val="left"/>
        <w:rPr>
          <w:rFonts w:hint="default" w:ascii="Times New Roman" w:hAnsi="Times New Roman" w:eastAsia="仿宋_GB2312" w:cs="Times New Roman"/>
          <w:color w:val="auto"/>
          <w:sz w:val="32"/>
          <w:szCs w:val="32"/>
        </w:rPr>
      </w:pPr>
    </w:p>
    <w:p w14:paraId="53D1E510">
      <w:pPr>
        <w:widowControl/>
        <w:spacing w:line="580" w:lineRule="exact"/>
        <w:jc w:val="left"/>
        <w:rPr>
          <w:rFonts w:hint="default" w:ascii="Times New Roman" w:hAnsi="Times New Roman" w:eastAsia="仿宋_GB2312" w:cs="Times New Roman"/>
          <w:color w:val="auto"/>
          <w:sz w:val="32"/>
          <w:szCs w:val="32"/>
        </w:rPr>
      </w:pPr>
    </w:p>
    <w:p w14:paraId="3665C3F2">
      <w:pPr>
        <w:widowControl/>
        <w:spacing w:line="580" w:lineRule="exact"/>
        <w:jc w:val="left"/>
        <w:rPr>
          <w:rFonts w:hint="default" w:ascii="Times New Roman" w:hAnsi="Times New Roman" w:eastAsia="仿宋_GB2312" w:cs="Times New Roman"/>
          <w:color w:val="auto"/>
          <w:sz w:val="32"/>
          <w:szCs w:val="32"/>
        </w:rPr>
      </w:pPr>
    </w:p>
    <w:p w14:paraId="4DC16CFA">
      <w:pPr>
        <w:widowControl/>
        <w:spacing w:line="580" w:lineRule="exact"/>
        <w:jc w:val="left"/>
        <w:rPr>
          <w:rFonts w:hint="eastAsia" w:ascii="Times New Roman" w:hAnsi="Times New Roman" w:eastAsia="仿宋_GB2312" w:cs="Times New Roman"/>
          <w:color w:val="auto"/>
          <w:sz w:val="32"/>
          <w:szCs w:val="32"/>
          <w:lang w:eastAsia="zh-CN"/>
        </w:rPr>
      </w:pPr>
    </w:p>
    <w:p w14:paraId="4B2B77A1">
      <w:pPr>
        <w:widowControl/>
        <w:spacing w:line="580" w:lineRule="exact"/>
        <w:jc w:val="left"/>
        <w:rPr>
          <w:rFonts w:hint="eastAsia" w:ascii="Times New Roman" w:hAnsi="Times New Roman" w:eastAsia="仿宋_GB2312" w:cs="Times New Roman"/>
          <w:color w:val="auto"/>
          <w:sz w:val="32"/>
          <w:szCs w:val="32"/>
          <w:lang w:eastAsia="zh-CN"/>
        </w:rPr>
      </w:pPr>
    </w:p>
    <w:p w14:paraId="1BABA818">
      <w:pPr>
        <w:widowControl/>
        <w:spacing w:line="580" w:lineRule="exact"/>
        <w:jc w:val="left"/>
        <w:rPr>
          <w:rFonts w:hint="default" w:ascii="Times New Roman" w:hAnsi="Times New Roman" w:eastAsia="仿宋_GB2312" w:cs="Times New Roman"/>
          <w:color w:val="auto"/>
          <w:sz w:val="32"/>
          <w:szCs w:val="32"/>
        </w:rPr>
      </w:pPr>
    </w:p>
    <w:tbl>
      <w:tblPr>
        <w:tblStyle w:val="6"/>
        <w:tblpPr w:leftFromText="180" w:rightFromText="180" w:vertAnchor="text" w:horzAnchor="page" w:tblpX="1910" w:tblpY="780"/>
        <w:tblOverlap w:val="never"/>
        <w:tblW w:w="8520" w:type="dxa"/>
        <w:tblInd w:w="0" w:type="dxa"/>
        <w:tblBorders>
          <w:top w:val="single" w:color="auto" w:sz="4" w:space="0"/>
          <w:left w:val="none" w:color="auto" w:sz="0" w:space="0"/>
          <w:bottom w:val="single" w:color="auto" w:sz="4" w:space="0"/>
          <w:right w:val="none" w:color="auto" w:sz="0" w:space="0"/>
          <w:insideH w:val="single" w:color="auto" w:sz="4" w:space="0"/>
          <w:insideV w:val="none" w:color="auto" w:sz="0" w:space="0"/>
        </w:tblBorders>
        <w:tblLayout w:type="autofit"/>
        <w:tblCellMar>
          <w:top w:w="0" w:type="dxa"/>
          <w:left w:w="108" w:type="dxa"/>
          <w:bottom w:w="0" w:type="dxa"/>
          <w:right w:w="108" w:type="dxa"/>
        </w:tblCellMar>
      </w:tblPr>
      <w:tblGrid>
        <w:gridCol w:w="8520"/>
      </w:tblGrid>
      <w:tr w14:paraId="712C0685">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c>
          <w:tcPr>
            <w:tcW w:w="8520" w:type="dxa"/>
            <w:tcBorders>
              <w:tl2br w:val="nil"/>
              <w:tr2bl w:val="nil"/>
            </w:tcBorders>
            <w:noWrap w:val="0"/>
            <w:vAlign w:val="top"/>
          </w:tcPr>
          <w:p w14:paraId="5EAC89F5">
            <w:pPr>
              <w:widowControl/>
              <w:spacing w:line="580" w:lineRule="exact"/>
              <w:jc w:val="left"/>
              <w:rPr>
                <w:rFonts w:hint="default" w:ascii="Times New Roman" w:hAnsi="Times New Roman" w:cs="Times New Roman"/>
                <w:b/>
                <w:color w:val="auto"/>
                <w:sz w:val="32"/>
                <w:szCs w:val="32"/>
                <w:u w:val="none"/>
                <w:vertAlign w:val="baseline"/>
              </w:rPr>
            </w:pPr>
            <w:r>
              <w:rPr>
                <w:rFonts w:hint="default" w:ascii="Times New Roman" w:hAnsi="Times New Roman" w:eastAsia="仿宋" w:cs="Times New Roman"/>
                <w:color w:val="auto"/>
                <w:sz w:val="28"/>
                <w:szCs w:val="28"/>
                <w:u w:val="none"/>
                <w:lang w:eastAsia="zh-CN"/>
              </w:rPr>
              <w:t>各镇（街道）、管委会，市有关单位</w:t>
            </w:r>
          </w:p>
        </w:tc>
      </w:tr>
      <w:tr w14:paraId="7362B37D">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c>
          <w:tcPr>
            <w:tcW w:w="8520" w:type="dxa"/>
            <w:tcBorders>
              <w:tl2br w:val="nil"/>
              <w:tr2bl w:val="nil"/>
            </w:tcBorders>
            <w:noWrap w:val="0"/>
            <w:vAlign w:val="top"/>
          </w:tcPr>
          <w:p w14:paraId="0F321802">
            <w:pPr>
              <w:keepNext w:val="0"/>
              <w:keepLines w:val="0"/>
              <w:pageBreakBefore w:val="0"/>
              <w:widowControl w:val="0"/>
              <w:kinsoku/>
              <w:wordWrap/>
              <w:overflowPunct/>
              <w:topLinePunct w:val="0"/>
              <w:autoSpaceDE/>
              <w:autoSpaceDN/>
              <w:bidi w:val="0"/>
              <w:adjustRightInd/>
              <w:snapToGrid/>
              <w:spacing w:line="560" w:lineRule="exact"/>
              <w:ind w:left="0" w:leftChars="0"/>
              <w:jc w:val="both"/>
              <w:textAlignment w:val="auto"/>
              <w:rPr>
                <w:rFonts w:hint="default" w:ascii="Times New Roman" w:hAnsi="Times New Roman" w:eastAsia="仿宋" w:cs="Times New Roman"/>
                <w:color w:val="auto"/>
                <w:sz w:val="28"/>
                <w:szCs w:val="28"/>
                <w:u w:val="none"/>
                <w:lang w:eastAsia="zh-CN"/>
              </w:rPr>
            </w:pPr>
            <w:r>
              <w:rPr>
                <w:rFonts w:hint="default" w:ascii="Times New Roman" w:hAnsi="Times New Roman" w:eastAsia="仿宋" w:cs="Times New Roman"/>
                <w:color w:val="auto"/>
                <w:sz w:val="28"/>
                <w:szCs w:val="28"/>
                <w:u w:val="none"/>
                <w:lang w:eastAsia="zh-CN"/>
              </w:rPr>
              <w:t>开平</w:t>
            </w:r>
            <w:r>
              <w:rPr>
                <w:rFonts w:hint="default" w:ascii="Times New Roman" w:hAnsi="Times New Roman" w:eastAsia="仿宋" w:cs="Times New Roman"/>
                <w:color w:val="auto"/>
                <w:sz w:val="28"/>
                <w:szCs w:val="28"/>
                <w:u w:val="none"/>
              </w:rPr>
              <w:t>市</w:t>
            </w:r>
            <w:r>
              <w:rPr>
                <w:rFonts w:hint="default" w:ascii="Times New Roman" w:hAnsi="Times New Roman" w:eastAsia="仿宋" w:cs="Times New Roman"/>
                <w:color w:val="auto"/>
                <w:sz w:val="28"/>
                <w:szCs w:val="28"/>
                <w:u w:val="none"/>
                <w:lang w:eastAsia="zh-CN"/>
              </w:rPr>
              <w:t>住房和城乡建设局</w:t>
            </w:r>
            <w:r>
              <w:rPr>
                <w:rFonts w:hint="default" w:ascii="Times New Roman" w:hAnsi="Times New Roman" w:eastAsia="仿宋" w:cs="Times New Roman"/>
                <w:color w:val="auto"/>
                <w:sz w:val="28"/>
                <w:szCs w:val="28"/>
                <w:u w:val="none"/>
                <w:lang w:val="en-US" w:eastAsia="zh-CN"/>
              </w:rPr>
              <w:t xml:space="preserve">                  </w:t>
            </w:r>
            <w:r>
              <w:rPr>
                <w:rFonts w:hint="eastAsia" w:ascii="Times New Roman" w:hAnsi="Times New Roman" w:eastAsia="仿宋" w:cs="Times New Roman"/>
                <w:color w:val="auto"/>
                <w:sz w:val="28"/>
                <w:szCs w:val="28"/>
                <w:u w:val="none"/>
                <w:lang w:val="en-US" w:eastAsia="zh-CN"/>
              </w:rPr>
              <w:t xml:space="preserve"> 2024年11月17日</w:t>
            </w:r>
            <w:r>
              <w:rPr>
                <w:rFonts w:hint="default" w:ascii="Times New Roman" w:hAnsi="Times New Roman" w:eastAsia="仿宋" w:cs="Times New Roman"/>
                <w:color w:val="auto"/>
                <w:sz w:val="28"/>
                <w:szCs w:val="28"/>
                <w:u w:val="none"/>
              </w:rPr>
              <w:t>印</w:t>
            </w:r>
          </w:p>
        </w:tc>
      </w:tr>
    </w:tbl>
    <w:p w14:paraId="53518E65">
      <w:pPr>
        <w:rPr>
          <w:color w:val="auto"/>
        </w:rPr>
      </w:pPr>
    </w:p>
    <w:sectPr>
      <w:footerReference r:id="rId5" w:type="first"/>
      <w:footerReference r:id="rId3" w:type="default"/>
      <w:footerReference r:id="rId4" w:type="even"/>
      <w:pgSz w:w="11906" w:h="16838"/>
      <w:pgMar w:top="1417" w:right="1531" w:bottom="1531" w:left="1531" w:header="851" w:footer="992" w:gutter="0"/>
      <w:pgBorders>
        <w:top w:val="none" w:sz="0" w:space="0"/>
        <w:left w:val="none" w:sz="0" w:space="0"/>
        <w:bottom w:val="none" w:sz="0" w:space="0"/>
        <w:right w:val="none" w:sz="0" w:space="0"/>
      </w:pgBorders>
      <w:pgNumType w:fmt="decimal" w:start="1"/>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roman"/>
    <w:pitch w:val="default"/>
    <w:sig w:usb0="800002BF" w:usb1="38CF7CFA" w:usb2="00000016" w:usb3="00000000" w:csb0="00040001" w:csb1="00000000"/>
  </w:font>
  <w:font w:name="Arial">
    <w:panose1 w:val="020B0604020202020204"/>
    <w:charset w:val="00"/>
    <w:family w:val="auto"/>
    <w:pitch w:val="default"/>
    <w:sig w:usb0="E0002A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E0F8A3">
    <w:pPr>
      <w:pStyle w:val="2"/>
      <w:jc w:val="right"/>
      <w:rPr>
        <w:sz w:val="28"/>
        <w:szCs w:val="28"/>
      </w:rPr>
    </w:pPr>
    <w:r>
      <w:rPr>
        <w:sz w:val="28"/>
      </w:rPr>
      <w:pict>
        <v:shape id="文本框 4" o:spid="_x0000_s3075"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path/>
          <v:fill on="f" focussize="0,0"/>
          <v:stroke on="f" weight="0.5pt"/>
          <v:imagedata o:title=""/>
          <o:lock v:ext="edit" aspectratio="f"/>
          <v:textbox inset="0mm,0mm,0mm,0mm" style="mso-fit-shape-to-text:t;">
            <w:txbxContent>
              <w:p w14:paraId="6F7AF79B">
                <w:pPr>
                  <w:pStyle w:val="2"/>
                  <w:rPr>
                    <w:rFonts w:hint="eastAsia" w:asciiTheme="majorEastAsia" w:hAnsiTheme="majorEastAsia" w:eastAsiaTheme="majorEastAsia" w:cstheme="majorEastAsia"/>
                    <w:sz w:val="28"/>
                    <w:szCs w:val="44"/>
                  </w:rPr>
                </w:pPr>
                <w:r>
                  <w:rPr>
                    <w:rFonts w:hint="eastAsia" w:asciiTheme="majorEastAsia" w:hAnsiTheme="majorEastAsia" w:eastAsiaTheme="majorEastAsia" w:cstheme="majorEastAsia"/>
                    <w:sz w:val="28"/>
                    <w:szCs w:val="44"/>
                  </w:rPr>
                  <w:t xml:space="preserve">— </w:t>
                </w:r>
                <w:r>
                  <w:rPr>
                    <w:rFonts w:hint="eastAsia" w:asciiTheme="majorEastAsia" w:hAnsiTheme="majorEastAsia" w:eastAsiaTheme="majorEastAsia" w:cstheme="majorEastAsia"/>
                    <w:sz w:val="28"/>
                    <w:szCs w:val="44"/>
                  </w:rPr>
                  <w:fldChar w:fldCharType="begin"/>
                </w:r>
                <w:r>
                  <w:rPr>
                    <w:rFonts w:hint="eastAsia" w:asciiTheme="majorEastAsia" w:hAnsiTheme="majorEastAsia" w:eastAsiaTheme="majorEastAsia" w:cstheme="majorEastAsia"/>
                    <w:sz w:val="28"/>
                    <w:szCs w:val="44"/>
                  </w:rPr>
                  <w:instrText xml:space="preserve"> PAGE  \* MERGEFORMAT </w:instrText>
                </w:r>
                <w:r>
                  <w:rPr>
                    <w:rFonts w:hint="eastAsia" w:asciiTheme="majorEastAsia" w:hAnsiTheme="majorEastAsia" w:eastAsiaTheme="majorEastAsia" w:cstheme="majorEastAsia"/>
                    <w:sz w:val="28"/>
                    <w:szCs w:val="44"/>
                  </w:rPr>
                  <w:fldChar w:fldCharType="separate"/>
                </w:r>
                <w:r>
                  <w:rPr>
                    <w:rFonts w:hint="eastAsia" w:asciiTheme="majorEastAsia" w:hAnsiTheme="majorEastAsia" w:eastAsiaTheme="majorEastAsia" w:cstheme="majorEastAsia"/>
                    <w:sz w:val="28"/>
                    <w:szCs w:val="44"/>
                  </w:rPr>
                  <w:t>3</w:t>
                </w:r>
                <w:r>
                  <w:rPr>
                    <w:rFonts w:hint="eastAsia" w:asciiTheme="majorEastAsia" w:hAnsiTheme="majorEastAsia" w:eastAsiaTheme="majorEastAsia" w:cstheme="majorEastAsia"/>
                    <w:sz w:val="28"/>
                    <w:szCs w:val="44"/>
                  </w:rPr>
                  <w:fldChar w:fldCharType="end"/>
                </w:r>
                <w:r>
                  <w:rPr>
                    <w:rFonts w:hint="eastAsia" w:asciiTheme="majorEastAsia" w:hAnsiTheme="majorEastAsia" w:eastAsiaTheme="majorEastAsia" w:cstheme="majorEastAsia"/>
                    <w:sz w:val="28"/>
                    <w:szCs w:val="44"/>
                  </w:rPr>
                  <w:t xml:space="preserve"> —</w:t>
                </w:r>
              </w:p>
            </w:txbxContent>
          </v:textbox>
        </v:shape>
      </w:pict>
    </w:r>
  </w:p>
  <w:p w14:paraId="33A5E24E">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146811">
    <w:pPr>
      <w:pStyle w:val="2"/>
      <w:rPr>
        <w:sz w:val="28"/>
        <w:szCs w:val="28"/>
      </w:rPr>
    </w:pPr>
    <w:r>
      <w:rPr>
        <w:sz w:val="28"/>
      </w:rPr>
      <w:pict>
        <v:shape id="文本框 7" o:spid="_x0000_s3074"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path/>
          <v:fill on="f" focussize="0,0"/>
          <v:stroke on="f" weight="0.5pt"/>
          <v:imagedata o:title=""/>
          <o:lock v:ext="edit" aspectratio="f"/>
          <v:textbox inset="0mm,0mm,0mm,0mm" style="mso-fit-shape-to-text:t;">
            <w:txbxContent>
              <w:p w14:paraId="7D859F4F">
                <w:pPr>
                  <w:pStyle w:val="2"/>
                  <w:rPr>
                    <w:rFonts w:hint="eastAsia" w:asciiTheme="minorEastAsia" w:hAnsiTheme="minorEastAsia" w:eastAsiaTheme="minorEastAsia" w:cstheme="minorEastAsia"/>
                    <w:sz w:val="28"/>
                    <w:szCs w:val="44"/>
                  </w:rPr>
                </w:pPr>
                <w:r>
                  <w:rPr>
                    <w:rFonts w:hint="eastAsia" w:asciiTheme="minorEastAsia" w:hAnsiTheme="minorEastAsia" w:eastAsiaTheme="minorEastAsia" w:cstheme="minorEastAsia"/>
                    <w:sz w:val="28"/>
                    <w:szCs w:val="44"/>
                  </w:rPr>
                  <w:t xml:space="preserve">— </w:t>
                </w:r>
                <w:r>
                  <w:rPr>
                    <w:rFonts w:hint="eastAsia" w:asciiTheme="minorEastAsia" w:hAnsiTheme="minorEastAsia" w:eastAsiaTheme="minorEastAsia" w:cstheme="minorEastAsia"/>
                    <w:sz w:val="28"/>
                    <w:szCs w:val="44"/>
                  </w:rPr>
                  <w:fldChar w:fldCharType="begin"/>
                </w:r>
                <w:r>
                  <w:rPr>
                    <w:rFonts w:hint="eastAsia" w:asciiTheme="minorEastAsia" w:hAnsiTheme="minorEastAsia" w:eastAsiaTheme="minorEastAsia" w:cstheme="minorEastAsia"/>
                    <w:sz w:val="28"/>
                    <w:szCs w:val="44"/>
                  </w:rPr>
                  <w:instrText xml:space="preserve"> PAGE  \* MERGEFORMAT </w:instrText>
                </w:r>
                <w:r>
                  <w:rPr>
                    <w:rFonts w:hint="eastAsia" w:asciiTheme="minorEastAsia" w:hAnsiTheme="minorEastAsia" w:eastAsiaTheme="minorEastAsia" w:cstheme="minorEastAsia"/>
                    <w:sz w:val="28"/>
                    <w:szCs w:val="44"/>
                  </w:rPr>
                  <w:fldChar w:fldCharType="separate"/>
                </w:r>
                <w:r>
                  <w:rPr>
                    <w:rFonts w:hint="eastAsia" w:asciiTheme="minorEastAsia" w:hAnsiTheme="minorEastAsia" w:eastAsiaTheme="minorEastAsia" w:cstheme="minorEastAsia"/>
                    <w:sz w:val="28"/>
                    <w:szCs w:val="44"/>
                  </w:rPr>
                  <w:t>2</w:t>
                </w:r>
                <w:r>
                  <w:rPr>
                    <w:rFonts w:hint="eastAsia" w:asciiTheme="minorEastAsia" w:hAnsiTheme="minorEastAsia" w:eastAsiaTheme="minorEastAsia" w:cstheme="minorEastAsia"/>
                    <w:sz w:val="28"/>
                    <w:szCs w:val="44"/>
                  </w:rPr>
                  <w:fldChar w:fldCharType="end"/>
                </w:r>
                <w:r>
                  <w:rPr>
                    <w:rFonts w:hint="eastAsia" w:asciiTheme="minorEastAsia" w:hAnsiTheme="minorEastAsia" w:eastAsiaTheme="minorEastAsia" w:cstheme="minorEastAsia"/>
                    <w:sz w:val="28"/>
                    <w:szCs w:val="44"/>
                  </w:rPr>
                  <w:t xml:space="preserve"> —</w:t>
                </w:r>
              </w:p>
            </w:txbxContent>
          </v:textbox>
        </v:shape>
      </w:pict>
    </w:r>
  </w:p>
  <w:p w14:paraId="3F6F038D">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4412E7">
    <w:pPr>
      <w:pStyle w:val="2"/>
    </w:pPr>
    <w:r>
      <w:rPr>
        <w:sz w:val="18"/>
      </w:rPr>
      <w:pict>
        <v:shape id="文本框 8" o:spid="_x0000_s3073"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path/>
          <v:fill on="f" focussize="0,0"/>
          <v:stroke on="f" weight="0.5pt"/>
          <v:imagedata o:title=""/>
          <o:lock v:ext="edit" aspectratio="f"/>
          <v:textbox inset="0mm,0mm,0mm,0mm" style="mso-fit-shape-to-text:t;">
            <w:txbxContent>
              <w:p w14:paraId="1800C069">
                <w:pPr>
                  <w:pStyle w:val="2"/>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NjEyNzQ2MDVkOTc2ZGM3ZDdiMDJlZmJlMDFiODEwMDYifQ=="/>
  </w:docVars>
  <w:rsids>
    <w:rsidRoot w:val="000B5F84"/>
    <w:rsid w:val="000273CC"/>
    <w:rsid w:val="000857C8"/>
    <w:rsid w:val="000B5F84"/>
    <w:rsid w:val="00105C0F"/>
    <w:rsid w:val="00130938"/>
    <w:rsid w:val="001F1AB8"/>
    <w:rsid w:val="001F5F2B"/>
    <w:rsid w:val="002265A9"/>
    <w:rsid w:val="0022668A"/>
    <w:rsid w:val="002418A7"/>
    <w:rsid w:val="002A19CA"/>
    <w:rsid w:val="002B46B2"/>
    <w:rsid w:val="002F707D"/>
    <w:rsid w:val="00311036"/>
    <w:rsid w:val="003463CB"/>
    <w:rsid w:val="00365B67"/>
    <w:rsid w:val="00404862"/>
    <w:rsid w:val="0046041C"/>
    <w:rsid w:val="004D2E27"/>
    <w:rsid w:val="004F20C4"/>
    <w:rsid w:val="005646BD"/>
    <w:rsid w:val="005A167A"/>
    <w:rsid w:val="005E16DE"/>
    <w:rsid w:val="00740B98"/>
    <w:rsid w:val="00767366"/>
    <w:rsid w:val="007F3ED6"/>
    <w:rsid w:val="00806AAF"/>
    <w:rsid w:val="008702B6"/>
    <w:rsid w:val="0089049F"/>
    <w:rsid w:val="008E4B9F"/>
    <w:rsid w:val="00973756"/>
    <w:rsid w:val="00987F0B"/>
    <w:rsid w:val="009A4F52"/>
    <w:rsid w:val="009B0B1A"/>
    <w:rsid w:val="009D157E"/>
    <w:rsid w:val="00AA1631"/>
    <w:rsid w:val="00B43B4B"/>
    <w:rsid w:val="00B95EE4"/>
    <w:rsid w:val="00BE3919"/>
    <w:rsid w:val="00BE41C6"/>
    <w:rsid w:val="00BF173F"/>
    <w:rsid w:val="00C00780"/>
    <w:rsid w:val="00C11ED3"/>
    <w:rsid w:val="00C24BB4"/>
    <w:rsid w:val="00D7631C"/>
    <w:rsid w:val="00DF179B"/>
    <w:rsid w:val="00DF2AA7"/>
    <w:rsid w:val="00E23DC7"/>
    <w:rsid w:val="00ED4E05"/>
    <w:rsid w:val="00F606F7"/>
    <w:rsid w:val="00FA5F51"/>
    <w:rsid w:val="00FF2508"/>
    <w:rsid w:val="01400201"/>
    <w:rsid w:val="01B95595"/>
    <w:rsid w:val="01C25065"/>
    <w:rsid w:val="020B0E3D"/>
    <w:rsid w:val="027F6AB2"/>
    <w:rsid w:val="029046D1"/>
    <w:rsid w:val="02DA7661"/>
    <w:rsid w:val="03251BFC"/>
    <w:rsid w:val="03764359"/>
    <w:rsid w:val="03773C2D"/>
    <w:rsid w:val="03C9092D"/>
    <w:rsid w:val="03D0728C"/>
    <w:rsid w:val="049F168E"/>
    <w:rsid w:val="04F80D9E"/>
    <w:rsid w:val="06874187"/>
    <w:rsid w:val="071F6AB6"/>
    <w:rsid w:val="075A5347"/>
    <w:rsid w:val="07647A08"/>
    <w:rsid w:val="076646E5"/>
    <w:rsid w:val="076E1DAC"/>
    <w:rsid w:val="07831C19"/>
    <w:rsid w:val="0874103E"/>
    <w:rsid w:val="08A264DF"/>
    <w:rsid w:val="09287EA3"/>
    <w:rsid w:val="0963712E"/>
    <w:rsid w:val="0A586982"/>
    <w:rsid w:val="0AE14F04"/>
    <w:rsid w:val="0B6E3B68"/>
    <w:rsid w:val="0BA31A63"/>
    <w:rsid w:val="0BF1751F"/>
    <w:rsid w:val="0C447790"/>
    <w:rsid w:val="0CC50DC8"/>
    <w:rsid w:val="0CEA3D16"/>
    <w:rsid w:val="0CF365B8"/>
    <w:rsid w:val="0D851335"/>
    <w:rsid w:val="0DA80A23"/>
    <w:rsid w:val="0EA54137"/>
    <w:rsid w:val="0ED80003"/>
    <w:rsid w:val="0ED97E2A"/>
    <w:rsid w:val="0F5577D0"/>
    <w:rsid w:val="0FE32116"/>
    <w:rsid w:val="0FE50868"/>
    <w:rsid w:val="10A36D42"/>
    <w:rsid w:val="10D04033"/>
    <w:rsid w:val="10DD6A08"/>
    <w:rsid w:val="10ED6E5B"/>
    <w:rsid w:val="111E6CD8"/>
    <w:rsid w:val="11892366"/>
    <w:rsid w:val="11B711C7"/>
    <w:rsid w:val="11CC3396"/>
    <w:rsid w:val="1202500A"/>
    <w:rsid w:val="125A4E46"/>
    <w:rsid w:val="12F52426"/>
    <w:rsid w:val="13782880"/>
    <w:rsid w:val="13B14F39"/>
    <w:rsid w:val="13C44C17"/>
    <w:rsid w:val="13EF60E2"/>
    <w:rsid w:val="13F37300"/>
    <w:rsid w:val="157D65D4"/>
    <w:rsid w:val="159D5775"/>
    <w:rsid w:val="16487E6D"/>
    <w:rsid w:val="16C62FC8"/>
    <w:rsid w:val="17932AA2"/>
    <w:rsid w:val="181F00B2"/>
    <w:rsid w:val="190D214E"/>
    <w:rsid w:val="194B373A"/>
    <w:rsid w:val="1A644AB4"/>
    <w:rsid w:val="1A7F369B"/>
    <w:rsid w:val="1A8B2040"/>
    <w:rsid w:val="1A8E049E"/>
    <w:rsid w:val="1AFE2265"/>
    <w:rsid w:val="1B530684"/>
    <w:rsid w:val="1B632FBD"/>
    <w:rsid w:val="1B8B42C2"/>
    <w:rsid w:val="1C020AD6"/>
    <w:rsid w:val="1C0E117B"/>
    <w:rsid w:val="1C371C90"/>
    <w:rsid w:val="1CB63C6B"/>
    <w:rsid w:val="1CFD0C2B"/>
    <w:rsid w:val="1D2734C4"/>
    <w:rsid w:val="1D4342D9"/>
    <w:rsid w:val="1D5A3F4C"/>
    <w:rsid w:val="1D6B7F07"/>
    <w:rsid w:val="1E7828DC"/>
    <w:rsid w:val="1EA92AEE"/>
    <w:rsid w:val="1F0141FD"/>
    <w:rsid w:val="1F143F8E"/>
    <w:rsid w:val="1F856081"/>
    <w:rsid w:val="1FA871F0"/>
    <w:rsid w:val="1FBA6F24"/>
    <w:rsid w:val="1FBE3775"/>
    <w:rsid w:val="20065A09"/>
    <w:rsid w:val="200C4322"/>
    <w:rsid w:val="201B14AD"/>
    <w:rsid w:val="21BF19D9"/>
    <w:rsid w:val="21FE57EE"/>
    <w:rsid w:val="22635651"/>
    <w:rsid w:val="230F3670"/>
    <w:rsid w:val="23130E25"/>
    <w:rsid w:val="23B01F5F"/>
    <w:rsid w:val="23BF3127"/>
    <w:rsid w:val="23CE701B"/>
    <w:rsid w:val="23D665F8"/>
    <w:rsid w:val="23DE12F0"/>
    <w:rsid w:val="23FF5732"/>
    <w:rsid w:val="2406098A"/>
    <w:rsid w:val="24247805"/>
    <w:rsid w:val="24E069AA"/>
    <w:rsid w:val="25107F16"/>
    <w:rsid w:val="25253091"/>
    <w:rsid w:val="259B31DA"/>
    <w:rsid w:val="25E847EB"/>
    <w:rsid w:val="25ED5D79"/>
    <w:rsid w:val="26100072"/>
    <w:rsid w:val="26571970"/>
    <w:rsid w:val="266B0F78"/>
    <w:rsid w:val="27784B63"/>
    <w:rsid w:val="27D879DB"/>
    <w:rsid w:val="280B5F29"/>
    <w:rsid w:val="282A5C63"/>
    <w:rsid w:val="289B1580"/>
    <w:rsid w:val="28C73F5D"/>
    <w:rsid w:val="28CD1A76"/>
    <w:rsid w:val="29A26585"/>
    <w:rsid w:val="29C93464"/>
    <w:rsid w:val="29CB06AB"/>
    <w:rsid w:val="2A9A5C61"/>
    <w:rsid w:val="2ABA24CE"/>
    <w:rsid w:val="2B037312"/>
    <w:rsid w:val="2B084FE7"/>
    <w:rsid w:val="2BFD36BD"/>
    <w:rsid w:val="2C0003B4"/>
    <w:rsid w:val="2C153E60"/>
    <w:rsid w:val="2CC47634"/>
    <w:rsid w:val="2CD71349"/>
    <w:rsid w:val="2D427F0F"/>
    <w:rsid w:val="2E885D3D"/>
    <w:rsid w:val="2ECE479A"/>
    <w:rsid w:val="2F013A09"/>
    <w:rsid w:val="2F191EB9"/>
    <w:rsid w:val="2FB4786D"/>
    <w:rsid w:val="309A4933"/>
    <w:rsid w:val="31587205"/>
    <w:rsid w:val="31EF0CAF"/>
    <w:rsid w:val="320A3EA9"/>
    <w:rsid w:val="324043ED"/>
    <w:rsid w:val="33D57FC7"/>
    <w:rsid w:val="347F1E15"/>
    <w:rsid w:val="34BB30CA"/>
    <w:rsid w:val="34CE1050"/>
    <w:rsid w:val="354A0FEA"/>
    <w:rsid w:val="35946908"/>
    <w:rsid w:val="362625A3"/>
    <w:rsid w:val="364041CF"/>
    <w:rsid w:val="369938DF"/>
    <w:rsid w:val="36C00E6C"/>
    <w:rsid w:val="36C4095C"/>
    <w:rsid w:val="3708046F"/>
    <w:rsid w:val="370E607B"/>
    <w:rsid w:val="371B60A2"/>
    <w:rsid w:val="37323398"/>
    <w:rsid w:val="379874D0"/>
    <w:rsid w:val="37AA784C"/>
    <w:rsid w:val="37E62B54"/>
    <w:rsid w:val="37FF2DAC"/>
    <w:rsid w:val="38C85BE3"/>
    <w:rsid w:val="38DA7B6F"/>
    <w:rsid w:val="391D07F7"/>
    <w:rsid w:val="394A420B"/>
    <w:rsid w:val="39813D58"/>
    <w:rsid w:val="39CD7B28"/>
    <w:rsid w:val="3A0E4E10"/>
    <w:rsid w:val="3A5913BB"/>
    <w:rsid w:val="3ACC4283"/>
    <w:rsid w:val="3B084205"/>
    <w:rsid w:val="3B655B17"/>
    <w:rsid w:val="3BA20B11"/>
    <w:rsid w:val="3C1A644D"/>
    <w:rsid w:val="3C57564A"/>
    <w:rsid w:val="3C7072EB"/>
    <w:rsid w:val="3D081E6D"/>
    <w:rsid w:val="3D6764E5"/>
    <w:rsid w:val="3D86242E"/>
    <w:rsid w:val="3DA73D39"/>
    <w:rsid w:val="3DDC4BCF"/>
    <w:rsid w:val="3E1B29D5"/>
    <w:rsid w:val="3E23065E"/>
    <w:rsid w:val="3E7013C9"/>
    <w:rsid w:val="400C5122"/>
    <w:rsid w:val="401046F3"/>
    <w:rsid w:val="409E1FF1"/>
    <w:rsid w:val="40C8729B"/>
    <w:rsid w:val="41263FC1"/>
    <w:rsid w:val="414C53A0"/>
    <w:rsid w:val="419856C0"/>
    <w:rsid w:val="419F6B8A"/>
    <w:rsid w:val="41E630AD"/>
    <w:rsid w:val="42F05CB7"/>
    <w:rsid w:val="44D846E3"/>
    <w:rsid w:val="44F7014F"/>
    <w:rsid w:val="453C2005"/>
    <w:rsid w:val="45A229D9"/>
    <w:rsid w:val="464F36FC"/>
    <w:rsid w:val="46704F60"/>
    <w:rsid w:val="46B06807"/>
    <w:rsid w:val="46D22C21"/>
    <w:rsid w:val="478C7274"/>
    <w:rsid w:val="486163DF"/>
    <w:rsid w:val="48A64365"/>
    <w:rsid w:val="498B335F"/>
    <w:rsid w:val="49E236FE"/>
    <w:rsid w:val="49F34A06"/>
    <w:rsid w:val="49F904C5"/>
    <w:rsid w:val="4A5E09C8"/>
    <w:rsid w:val="4A78377D"/>
    <w:rsid w:val="4A8C1339"/>
    <w:rsid w:val="4B165AFC"/>
    <w:rsid w:val="4BB74194"/>
    <w:rsid w:val="4BCD5586"/>
    <w:rsid w:val="4BCD7E5B"/>
    <w:rsid w:val="4BFE4527"/>
    <w:rsid w:val="4C0575F5"/>
    <w:rsid w:val="4D674FA9"/>
    <w:rsid w:val="4E794740"/>
    <w:rsid w:val="4EBB022C"/>
    <w:rsid w:val="4F702FD7"/>
    <w:rsid w:val="4F80348F"/>
    <w:rsid w:val="50C54E8C"/>
    <w:rsid w:val="50F364F6"/>
    <w:rsid w:val="51201468"/>
    <w:rsid w:val="513A15CC"/>
    <w:rsid w:val="51722DFF"/>
    <w:rsid w:val="52B6396D"/>
    <w:rsid w:val="52B91FD9"/>
    <w:rsid w:val="52FE4D9E"/>
    <w:rsid w:val="532760A3"/>
    <w:rsid w:val="533E7223"/>
    <w:rsid w:val="535A1B47"/>
    <w:rsid w:val="53E30217"/>
    <w:rsid w:val="54181E8F"/>
    <w:rsid w:val="544D1B39"/>
    <w:rsid w:val="546A429B"/>
    <w:rsid w:val="54844E89"/>
    <w:rsid w:val="54F9581D"/>
    <w:rsid w:val="55617635"/>
    <w:rsid w:val="57A41ED3"/>
    <w:rsid w:val="5886386C"/>
    <w:rsid w:val="58F24A5D"/>
    <w:rsid w:val="59910F2D"/>
    <w:rsid w:val="5AB81CD6"/>
    <w:rsid w:val="5BBF48A7"/>
    <w:rsid w:val="5D063D09"/>
    <w:rsid w:val="5D443CF5"/>
    <w:rsid w:val="5D493040"/>
    <w:rsid w:val="5D53004A"/>
    <w:rsid w:val="5D8D11F8"/>
    <w:rsid w:val="5DF2259E"/>
    <w:rsid w:val="5E330DDF"/>
    <w:rsid w:val="5E532442"/>
    <w:rsid w:val="5E5341F0"/>
    <w:rsid w:val="5EFB7049"/>
    <w:rsid w:val="5F610954"/>
    <w:rsid w:val="5F976FE5"/>
    <w:rsid w:val="5FA10F8B"/>
    <w:rsid w:val="6005776C"/>
    <w:rsid w:val="602B73E8"/>
    <w:rsid w:val="60536729"/>
    <w:rsid w:val="60AA48C5"/>
    <w:rsid w:val="61001B65"/>
    <w:rsid w:val="617E4775"/>
    <w:rsid w:val="62141EE8"/>
    <w:rsid w:val="622540F5"/>
    <w:rsid w:val="63110631"/>
    <w:rsid w:val="631B0B9B"/>
    <w:rsid w:val="63754C08"/>
    <w:rsid w:val="63CA1A11"/>
    <w:rsid w:val="63DD455C"/>
    <w:rsid w:val="640026DC"/>
    <w:rsid w:val="64124205"/>
    <w:rsid w:val="643F0D73"/>
    <w:rsid w:val="654F68B9"/>
    <w:rsid w:val="65864EAB"/>
    <w:rsid w:val="665B6338"/>
    <w:rsid w:val="666A253E"/>
    <w:rsid w:val="68C550F2"/>
    <w:rsid w:val="694A7342"/>
    <w:rsid w:val="69567589"/>
    <w:rsid w:val="69931944"/>
    <w:rsid w:val="69F13939"/>
    <w:rsid w:val="6A450503"/>
    <w:rsid w:val="6B19231D"/>
    <w:rsid w:val="6B405AFC"/>
    <w:rsid w:val="6B996625"/>
    <w:rsid w:val="6BBF2EC5"/>
    <w:rsid w:val="6BDC37D6"/>
    <w:rsid w:val="6D3210FD"/>
    <w:rsid w:val="6DE91859"/>
    <w:rsid w:val="6E0D4010"/>
    <w:rsid w:val="6E677844"/>
    <w:rsid w:val="6E895A0C"/>
    <w:rsid w:val="6E9F0D8B"/>
    <w:rsid w:val="6F2B29C6"/>
    <w:rsid w:val="6F70050D"/>
    <w:rsid w:val="6FB2556F"/>
    <w:rsid w:val="703A593D"/>
    <w:rsid w:val="70DC280D"/>
    <w:rsid w:val="70DD5905"/>
    <w:rsid w:val="71813A52"/>
    <w:rsid w:val="71B225A7"/>
    <w:rsid w:val="71B96608"/>
    <w:rsid w:val="732B7603"/>
    <w:rsid w:val="7336176F"/>
    <w:rsid w:val="739A1B8A"/>
    <w:rsid w:val="73AA2341"/>
    <w:rsid w:val="73B0350D"/>
    <w:rsid w:val="743B1556"/>
    <w:rsid w:val="74623279"/>
    <w:rsid w:val="74D43D01"/>
    <w:rsid w:val="7657532D"/>
    <w:rsid w:val="76E934EC"/>
    <w:rsid w:val="774E15A1"/>
    <w:rsid w:val="77901802"/>
    <w:rsid w:val="78924E72"/>
    <w:rsid w:val="78C3428E"/>
    <w:rsid w:val="79440EAD"/>
    <w:rsid w:val="797C2414"/>
    <w:rsid w:val="7A0F14BB"/>
    <w:rsid w:val="7A214914"/>
    <w:rsid w:val="7A253AEB"/>
    <w:rsid w:val="7ADE49EA"/>
    <w:rsid w:val="7B0F6D2F"/>
    <w:rsid w:val="7B7535A0"/>
    <w:rsid w:val="7BA408FE"/>
    <w:rsid w:val="7BCA6878"/>
    <w:rsid w:val="7BDD6962"/>
    <w:rsid w:val="7C211DF9"/>
    <w:rsid w:val="7C6420AF"/>
    <w:rsid w:val="7CA56489"/>
    <w:rsid w:val="7CC744E0"/>
    <w:rsid w:val="7D1122C5"/>
    <w:rsid w:val="7D3E79C1"/>
    <w:rsid w:val="7DE31558"/>
    <w:rsid w:val="7E5E62B5"/>
    <w:rsid w:val="7EB439DD"/>
    <w:rsid w:val="7EFB0260"/>
    <w:rsid w:val="7F273D12"/>
    <w:rsid w:val="7F67254B"/>
    <w:rsid w:val="7F737DF6"/>
    <w:rsid w:val="7F85139D"/>
    <w:rsid w:val="7FC50F8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0"/>
    <w:qFormat/>
    <w:uiPriority w:val="0"/>
    <w:pPr>
      <w:tabs>
        <w:tab w:val="center" w:pos="4153"/>
        <w:tab w:val="right" w:pos="8306"/>
      </w:tabs>
      <w:snapToGrid w:val="0"/>
      <w:jc w:val="left"/>
    </w:pPr>
    <w:rPr>
      <w:sz w:val="18"/>
      <w:szCs w:val="18"/>
    </w:rPr>
  </w:style>
  <w:style w:type="paragraph" w:styleId="3">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99"/>
    <w:pPr>
      <w:spacing w:beforeAutospacing="1" w:afterAutospacing="1"/>
      <w:jc w:val="left"/>
    </w:pPr>
    <w:rPr>
      <w:rFonts w:cs="Times New Roman"/>
      <w:kern w:val="0"/>
      <w:sz w:val="24"/>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Hyperlink"/>
    <w:basedOn w:val="7"/>
    <w:unhideWhenUsed/>
    <w:qFormat/>
    <w:uiPriority w:val="99"/>
    <w:rPr>
      <w:color w:val="0563C1" w:themeColor="hyperlink"/>
      <w:u w:val="single"/>
    </w:rPr>
  </w:style>
  <w:style w:type="character" w:customStyle="1" w:styleId="9">
    <w:name w:val="页眉 Char"/>
    <w:basedOn w:val="7"/>
    <w:link w:val="3"/>
    <w:qFormat/>
    <w:uiPriority w:val="0"/>
    <w:rPr>
      <w:rFonts w:asciiTheme="minorHAnsi" w:hAnsiTheme="minorHAnsi" w:eastAsiaTheme="minorEastAsia" w:cstheme="minorBidi"/>
      <w:kern w:val="2"/>
      <w:sz w:val="18"/>
      <w:szCs w:val="18"/>
    </w:rPr>
  </w:style>
  <w:style w:type="character" w:customStyle="1" w:styleId="10">
    <w:name w:val="页脚 Char"/>
    <w:basedOn w:val="7"/>
    <w:link w:val="2"/>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3075" textRotate="1"/>
    <customShpInfo spid="_x0000_s3074" textRotate="1"/>
    <customShpInfo spid="_x0000_s3073"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8</Pages>
  <Words>2300</Words>
  <Characters>2342</Characters>
  <Lines>20</Lines>
  <Paragraphs>5</Paragraphs>
  <TotalTime>2</TotalTime>
  <ScaleCrop>false</ScaleCrop>
  <LinksUpToDate>false</LinksUpToDate>
  <CharactersWithSpaces>2349</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2024-11-20T07:08:00Z</dcterms:created>
  <dc:creator>admin</dc:creator>
  <cp:lastModifiedBy>admin</cp:lastModifiedBy>
  <cp:lastPrinted>2024-12-02T07:14:00Z</cp:lastPrinted>
  <dcterms:modified xsi:type="dcterms:W3CDTF">2024-12-10T07:52:19Z</dcterms:modified>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0B9D11C936884B5E812F02F818D7EFED_12</vt:lpwstr>
  </property>
</Properties>
</file>