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825A7">
      <w:pPr>
        <w:pStyle w:val="4"/>
        <w:ind w:left="850"/>
        <w:rPr>
          <w:rFonts w:hint="eastAsia" w:ascii="Times New Roman"/>
          <w:sz w:val="20"/>
        </w:rPr>
      </w:pPr>
    </w:p>
    <w:p w14:paraId="4AB61236">
      <w:pPr>
        <w:pStyle w:val="4"/>
        <w:spacing w:before="3"/>
        <w:rPr>
          <w:rFonts w:hint="eastAsia" w:ascii="Times New Roman"/>
          <w:sz w:val="14"/>
        </w:rPr>
      </w:pPr>
    </w:p>
    <w:p w14:paraId="5779C212">
      <w:pPr>
        <w:pStyle w:val="4"/>
        <w:keepNext w:val="0"/>
        <w:keepLines w:val="0"/>
        <w:pageBreakBefore w:val="0"/>
        <w:widowControl w:val="0"/>
        <w:kinsoku/>
        <w:wordWrap/>
        <w:overflowPunct/>
        <w:topLinePunct w:val="0"/>
        <w:autoSpaceDE w:val="0"/>
        <w:autoSpaceDN w:val="0"/>
        <w:bidi w:val="0"/>
        <w:adjustRightInd/>
        <w:snapToGrid/>
        <w:spacing w:before="3"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江门市开平市2023年度土地征收成片</w:t>
      </w:r>
    </w:p>
    <w:p w14:paraId="3BECAD60">
      <w:pPr>
        <w:pStyle w:val="4"/>
        <w:keepNext w:val="0"/>
        <w:keepLines w:val="0"/>
        <w:pageBreakBefore w:val="0"/>
        <w:widowControl w:val="0"/>
        <w:kinsoku/>
        <w:wordWrap/>
        <w:overflowPunct/>
        <w:topLinePunct w:val="0"/>
        <w:autoSpaceDE w:val="0"/>
        <w:autoSpaceDN w:val="0"/>
        <w:bidi w:val="0"/>
        <w:adjustRightInd/>
        <w:snapToGrid/>
        <w:spacing w:before="3"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开发方案（第一批调整）</w:t>
      </w:r>
    </w:p>
    <w:p w14:paraId="128CA8D9">
      <w:pPr>
        <w:pStyle w:val="4"/>
        <w:keepNext w:val="0"/>
        <w:keepLines w:val="0"/>
        <w:pageBreakBefore w:val="0"/>
        <w:widowControl w:val="0"/>
        <w:kinsoku/>
        <w:wordWrap/>
        <w:overflowPunct/>
        <w:topLinePunct w:val="0"/>
        <w:autoSpaceDE w:val="0"/>
        <w:autoSpaceDN w:val="0"/>
        <w:bidi w:val="0"/>
        <w:adjustRightInd/>
        <w:snapToGrid/>
        <w:spacing w:before="3" w:line="560" w:lineRule="exact"/>
        <w:jc w:val="center"/>
        <w:textAlignment w:val="auto"/>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lang w:eastAsia="zh-CN"/>
        </w:rPr>
        <w:t>（公示草案）</w:t>
      </w:r>
    </w:p>
    <w:p w14:paraId="434A1D6D">
      <w:pPr>
        <w:pStyle w:val="2"/>
        <w:keepNext w:val="0"/>
        <w:keepLines w:val="0"/>
        <w:pageBreakBefore w:val="0"/>
        <w:kinsoku/>
        <w:wordWrap/>
        <w:overflowPunct/>
        <w:topLinePunct w:val="0"/>
        <w:bidi w:val="0"/>
        <w:adjustRightInd/>
        <w:snapToGrid/>
        <w:spacing w:before="12" w:line="560" w:lineRule="exact"/>
        <w:ind w:left="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一、编制依据</w:t>
      </w:r>
    </w:p>
    <w:p w14:paraId="78B31936">
      <w:pPr>
        <w:pStyle w:val="4"/>
        <w:keepNext w:val="0"/>
        <w:keepLines w:val="0"/>
        <w:pageBreakBefore w:val="0"/>
        <w:kinsoku/>
        <w:wordWrap/>
        <w:overflowPunct/>
        <w:topLinePunct w:val="0"/>
        <w:bidi w:val="0"/>
        <w:adjustRightInd/>
        <w:snapToGrid/>
        <w:spacing w:line="560" w:lineRule="exact"/>
        <w:ind w:right="238"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依据《中华人民共和国土地管理法》（2019年修订）、《中华人民共和国土地管理法》《自然资源部关于印发</w:t>
      </w:r>
      <w:r>
        <w:rPr>
          <w:rFonts w:hint="eastAsia" w:ascii="Times New Roman" w:hAnsi="Times New Roman" w:cs="Times New Roman"/>
          <w:lang w:eastAsia="zh-CN"/>
        </w:rPr>
        <w:t>〈</w:t>
      </w:r>
      <w:r>
        <w:rPr>
          <w:rFonts w:hint="default" w:ascii="Times New Roman" w:hAnsi="Times New Roman" w:cs="Times New Roman"/>
          <w:lang w:eastAsia="zh-CN"/>
        </w:rPr>
        <w:t>土地征收成片开发标准</w:t>
      </w:r>
      <w:r>
        <w:rPr>
          <w:rFonts w:hint="eastAsia" w:ascii="Times New Roman" w:hAnsi="Times New Roman" w:cs="Times New Roman"/>
          <w:lang w:eastAsia="zh-CN"/>
        </w:rPr>
        <w:t>〉</w:t>
      </w:r>
      <w:r>
        <w:rPr>
          <w:rFonts w:hint="default" w:ascii="Times New Roman" w:hAnsi="Times New Roman" w:cs="Times New Roman"/>
          <w:lang w:eastAsia="zh-CN"/>
        </w:rPr>
        <w:t>的通知》（自然资规〔2023〕7号）和《广东省自然资源厅关于规范已批土地征收成片开发方案调整工作的通知》（粤自然资函〔2023〕210号）等相关文件编制《江门市开平市2023年度土地征收成片开发方案（第一批调整）》</w:t>
      </w:r>
      <w:r>
        <w:rPr>
          <w:rFonts w:hint="default" w:ascii="Times New Roman" w:hAnsi="Times New Roman" w:cs="Times New Roman"/>
          <w:w w:val="99"/>
          <w:lang w:eastAsia="zh-CN"/>
        </w:rPr>
        <w:t>。</w:t>
      </w:r>
    </w:p>
    <w:p w14:paraId="09DB209C">
      <w:pPr>
        <w:pStyle w:val="2"/>
        <w:keepNext w:val="0"/>
        <w:keepLines w:val="0"/>
        <w:pageBreakBefore w:val="0"/>
        <w:kinsoku/>
        <w:wordWrap/>
        <w:overflowPunct/>
        <w:topLinePunct w:val="0"/>
        <w:bidi w:val="0"/>
        <w:adjustRightInd/>
        <w:snapToGrid/>
        <w:spacing w:before="12" w:line="560" w:lineRule="exact"/>
        <w:ind w:left="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二、基本情况</w:t>
      </w:r>
    </w:p>
    <w:p w14:paraId="127FC0F5">
      <w:pPr>
        <w:pStyle w:val="4"/>
        <w:keepNext w:val="0"/>
        <w:keepLines w:val="0"/>
        <w:pageBreakBefore w:val="0"/>
        <w:kinsoku/>
        <w:wordWrap/>
        <w:overflowPunct/>
        <w:topLinePunct w:val="0"/>
        <w:bidi w:val="0"/>
        <w:adjustRightInd/>
        <w:snapToGrid/>
        <w:spacing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江门市开平市2023年度土地征收成片开发方案（第一批）》（以下简称《原方案》）成片开发范围面积14.2203公顷，征收地块面积8.5322公顷。因成片开发范围涉及地块的控规用途进行了调整，需要征收开发，故需要调整片区的成片范围，同时将周边需要实施征收开发的土地一并纳入本次成片开发调整方案，形成《江门市开平市2023年度土地征收成片开发方案（第一批调整）》（以下简称《调整方案》），《调整方案》成片开发范围面积26.1639公顷，征收地块面积15.6990公顷。相较于《原方案》，《调整方案》增加成片开发范围面积11.9436公顷，增加征收地块面积</w:t>
      </w:r>
      <w:r>
        <w:rPr>
          <w:rFonts w:hint="eastAsia" w:ascii="Times New Roman" w:hAnsi="Times New Roman" w:cs="Times New Roman"/>
          <w:color w:val="auto"/>
          <w:lang w:val="en-US" w:eastAsia="zh-CN"/>
        </w:rPr>
        <w:t>7.1668</w:t>
      </w:r>
      <w:r>
        <w:rPr>
          <w:rFonts w:hint="default" w:ascii="Times New Roman" w:hAnsi="Times New Roman" w:cs="Times New Roman"/>
          <w:lang w:eastAsia="zh-CN"/>
        </w:rPr>
        <w:t>公顷。</w:t>
      </w:r>
    </w:p>
    <w:p w14:paraId="36DA5B94">
      <w:pPr>
        <w:pStyle w:val="4"/>
        <w:keepNext w:val="0"/>
        <w:keepLines w:val="0"/>
        <w:pageBreakBefore w:val="0"/>
        <w:kinsoku/>
        <w:wordWrap/>
        <w:overflowPunct/>
        <w:topLinePunct w:val="0"/>
        <w:bidi w:val="0"/>
        <w:adjustRightInd/>
        <w:snapToGrid/>
        <w:spacing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（一）调整后区域位置</w:t>
      </w:r>
    </w:p>
    <w:p w14:paraId="7988AF93">
      <w:pPr>
        <w:pStyle w:val="4"/>
        <w:keepNext w:val="0"/>
        <w:keepLines w:val="0"/>
        <w:pageBreakBefore w:val="0"/>
        <w:kinsoku/>
        <w:wordWrap/>
        <w:overflowPunct/>
        <w:topLinePunct w:val="0"/>
        <w:bidi w:val="0"/>
        <w:adjustRightInd/>
        <w:snapToGrid/>
        <w:spacing w:line="560" w:lineRule="exact"/>
        <w:ind w:right="238" w:firstLine="560" w:firstLineChars="200"/>
        <w:jc w:val="both"/>
        <w:textAlignment w:val="auto"/>
        <w:rPr>
          <w:rFonts w:hint="default" w:ascii="Times New Roman" w:hAnsi="Times New Roman" w:cs="Times New Roman"/>
          <w:w w:val="99"/>
          <w:lang w:eastAsia="zh-CN"/>
        </w:rPr>
      </w:pPr>
      <w:r>
        <w:rPr>
          <w:rFonts w:hint="default" w:ascii="Times New Roman" w:hAnsi="Times New Roman" w:cs="Times New Roman"/>
          <w:lang w:eastAsia="zh-CN"/>
        </w:rPr>
        <w:t>《调整方案》编制范围位于开平市行政区划范围内。按照用地集约、创新引领、产业升维、品质再造等城市功能提升要求，片区的设置综合考虑项目的性质和空间分布、重大发展平台、控规单元、行政区等因素，成片开发片区为一个闭合完整的区域，共规划1个片区（开平大道东汇城西侧居住片区）。片区位置详见下表</w:t>
      </w:r>
      <w:r>
        <w:rPr>
          <w:rFonts w:hint="default" w:ascii="Times New Roman" w:hAnsi="Times New Roman" w:cs="Times New Roman"/>
          <w:w w:val="99"/>
          <w:lang w:eastAsia="zh-CN"/>
        </w:rPr>
        <w:t>：</w:t>
      </w:r>
    </w:p>
    <w:p w14:paraId="5B467427">
      <w:pPr>
        <w:pStyle w:val="4"/>
        <w:keepNext w:val="0"/>
        <w:keepLines w:val="0"/>
        <w:pageBreakBefore w:val="0"/>
        <w:kinsoku/>
        <w:wordWrap/>
        <w:overflowPunct/>
        <w:topLinePunct w:val="0"/>
        <w:bidi w:val="0"/>
        <w:adjustRightInd/>
        <w:snapToGrid/>
        <w:spacing w:line="560" w:lineRule="exact"/>
        <w:ind w:right="238" w:firstLine="554" w:firstLineChars="200"/>
        <w:jc w:val="both"/>
        <w:textAlignment w:val="auto"/>
        <w:rPr>
          <w:rFonts w:hint="default" w:ascii="Times New Roman" w:hAnsi="Times New Roman" w:cs="Times New Roman"/>
          <w:w w:val="99"/>
          <w:lang w:eastAsia="zh-CN"/>
        </w:rPr>
      </w:pPr>
    </w:p>
    <w:p w14:paraId="4F769FA2">
      <w:pPr>
        <w:pStyle w:val="4"/>
        <w:keepNext w:val="0"/>
        <w:keepLines w:val="0"/>
        <w:pageBreakBefore w:val="0"/>
        <w:kinsoku/>
        <w:wordWrap/>
        <w:overflowPunct/>
        <w:topLinePunct w:val="0"/>
        <w:bidi w:val="0"/>
        <w:adjustRightInd/>
        <w:snapToGrid/>
        <w:spacing w:before="1" w:line="560" w:lineRule="exact"/>
        <w:ind w:right="234" w:firstLine="476" w:firstLineChars="200"/>
        <w:jc w:val="center"/>
        <w:textAlignment w:val="auto"/>
        <w:rPr>
          <w:rFonts w:hint="default" w:ascii="Times New Roman" w:hAnsi="Times New Roman" w:cs="Times New Roman"/>
          <w:b/>
          <w:bCs/>
          <w:w w:val="99"/>
          <w:sz w:val="24"/>
          <w:szCs w:val="24"/>
          <w:lang w:eastAsia="zh-CN"/>
        </w:rPr>
      </w:pPr>
      <w:r>
        <w:rPr>
          <w:rFonts w:hint="default" w:ascii="Times New Roman" w:hAnsi="Times New Roman" w:cs="Times New Roman"/>
          <w:b/>
          <w:bCs/>
          <w:w w:val="99"/>
          <w:sz w:val="24"/>
          <w:szCs w:val="24"/>
          <w:lang w:eastAsia="zh-CN"/>
        </w:rPr>
        <w:t>表1 片区概况汇总表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0"/>
        <w:gridCol w:w="2425"/>
        <w:gridCol w:w="2423"/>
        <w:gridCol w:w="2828"/>
      </w:tblGrid>
      <w:tr w14:paraId="4EF3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622" w:type="pct"/>
            <w:shd w:val="clear" w:color="auto" w:fill="auto"/>
            <w:noWrap/>
            <w:vAlign w:val="center"/>
          </w:tcPr>
          <w:p w14:paraId="7D2FD3B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z w:val="24"/>
                <w:szCs w:val="24"/>
                <w:lang w:eastAsia="zh-CN"/>
              </w:rPr>
            </w:pPr>
            <w:r>
              <w:rPr>
                <w:rFonts w:hint="default" w:ascii="Times New Roman" w:hAnsi="Times New Roman" w:cs="Times New Roman"/>
                <w:b/>
                <w:bCs/>
                <w:color w:val="000000"/>
                <w:sz w:val="24"/>
                <w:szCs w:val="24"/>
                <w:lang w:eastAsia="zh-CN"/>
              </w:rPr>
              <w:t>序号</w:t>
            </w:r>
          </w:p>
        </w:tc>
        <w:tc>
          <w:tcPr>
            <w:tcW w:w="1383" w:type="pct"/>
            <w:shd w:val="clear" w:color="auto" w:fill="auto"/>
            <w:noWrap/>
            <w:vAlign w:val="center"/>
          </w:tcPr>
          <w:p w14:paraId="2EDB3E3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z w:val="24"/>
                <w:szCs w:val="24"/>
                <w:lang w:eastAsia="zh-CN"/>
              </w:rPr>
            </w:pPr>
            <w:r>
              <w:rPr>
                <w:rFonts w:hint="default" w:ascii="Times New Roman" w:hAnsi="Times New Roman" w:cs="Times New Roman"/>
                <w:b/>
                <w:bCs/>
                <w:color w:val="000000"/>
                <w:sz w:val="24"/>
                <w:szCs w:val="24"/>
                <w:lang w:eastAsia="zh-CN"/>
              </w:rPr>
              <w:t>片区名称</w:t>
            </w:r>
          </w:p>
        </w:tc>
        <w:tc>
          <w:tcPr>
            <w:tcW w:w="1382" w:type="pct"/>
            <w:shd w:val="clear" w:color="auto" w:fill="auto"/>
            <w:noWrap/>
            <w:vAlign w:val="center"/>
          </w:tcPr>
          <w:p w14:paraId="2BEDEF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z w:val="24"/>
                <w:szCs w:val="24"/>
                <w:lang w:eastAsia="zh-CN"/>
              </w:rPr>
            </w:pPr>
            <w:r>
              <w:rPr>
                <w:rFonts w:hint="default" w:ascii="Times New Roman" w:hAnsi="Times New Roman" w:cs="Times New Roman"/>
                <w:b/>
                <w:bCs/>
                <w:color w:val="000000"/>
                <w:sz w:val="24"/>
                <w:szCs w:val="24"/>
                <w:lang w:eastAsia="zh-CN"/>
              </w:rPr>
              <w:t>位置</w:t>
            </w:r>
          </w:p>
        </w:tc>
        <w:tc>
          <w:tcPr>
            <w:tcW w:w="1613" w:type="pct"/>
            <w:shd w:val="clear" w:color="auto" w:fill="auto"/>
            <w:noWrap/>
            <w:vAlign w:val="center"/>
          </w:tcPr>
          <w:p w14:paraId="61FA008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z w:val="24"/>
                <w:szCs w:val="24"/>
                <w:lang w:eastAsia="zh-CN"/>
              </w:rPr>
            </w:pPr>
            <w:r>
              <w:rPr>
                <w:rFonts w:hint="default" w:ascii="Times New Roman" w:hAnsi="Times New Roman" w:cs="Times New Roman"/>
                <w:b/>
                <w:bCs/>
                <w:color w:val="000000"/>
                <w:sz w:val="24"/>
                <w:szCs w:val="24"/>
                <w:lang w:eastAsia="zh-CN"/>
              </w:rPr>
              <w:t>面积（公顷）</w:t>
            </w:r>
          </w:p>
        </w:tc>
      </w:tr>
      <w:tr w14:paraId="4DB4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622" w:type="pct"/>
            <w:shd w:val="clear" w:color="auto" w:fill="auto"/>
            <w:noWrap/>
            <w:vAlign w:val="center"/>
          </w:tcPr>
          <w:p w14:paraId="7E0DC7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1</w:t>
            </w:r>
          </w:p>
        </w:tc>
        <w:tc>
          <w:tcPr>
            <w:tcW w:w="1383" w:type="pct"/>
            <w:shd w:val="clear" w:color="000000" w:fill="FFFFFF"/>
            <w:vAlign w:val="center"/>
          </w:tcPr>
          <w:p w14:paraId="71B8C4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开平大道东汇城西侧居住片区</w:t>
            </w:r>
          </w:p>
        </w:tc>
        <w:tc>
          <w:tcPr>
            <w:tcW w:w="1382" w:type="pct"/>
            <w:shd w:val="clear" w:color="000000" w:fill="FFFFFF"/>
            <w:vAlign w:val="center"/>
          </w:tcPr>
          <w:p w14:paraId="585CCEA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长沙街道杜溪村、八一村</w:t>
            </w:r>
          </w:p>
        </w:tc>
        <w:tc>
          <w:tcPr>
            <w:tcW w:w="1613" w:type="pct"/>
            <w:shd w:val="clear" w:color="auto" w:fill="auto"/>
            <w:noWrap/>
            <w:vAlign w:val="center"/>
          </w:tcPr>
          <w:p w14:paraId="7B71898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26.1639</w:t>
            </w:r>
          </w:p>
        </w:tc>
      </w:tr>
    </w:tbl>
    <w:p w14:paraId="2D74ADDD">
      <w:pPr>
        <w:pStyle w:val="4"/>
        <w:keepNext w:val="0"/>
        <w:keepLines w:val="0"/>
        <w:pageBreakBefore w:val="0"/>
        <w:kinsoku/>
        <w:wordWrap/>
        <w:overflowPunct/>
        <w:topLinePunct w:val="0"/>
        <w:bidi w:val="0"/>
        <w:adjustRightInd/>
        <w:snapToGrid/>
        <w:spacing w:before="1" w:line="560" w:lineRule="exact"/>
        <w:ind w:right="99"/>
        <w:jc w:val="both"/>
        <w:textAlignment w:val="auto"/>
        <w:rPr>
          <w:rFonts w:hint="default" w:ascii="Times New Roman" w:hAnsi="Times New Roman" w:cs="Times New Roman"/>
          <w:lang w:eastAsia="zh-CN"/>
        </w:rPr>
      </w:pPr>
    </w:p>
    <w:p w14:paraId="0BC48E2C">
      <w:pPr>
        <w:pStyle w:val="4"/>
        <w:keepNext w:val="0"/>
        <w:keepLines w:val="0"/>
        <w:pageBreakBefore w:val="0"/>
        <w:kinsoku/>
        <w:wordWrap/>
        <w:overflowPunct/>
        <w:topLinePunct w:val="0"/>
        <w:bidi w:val="0"/>
        <w:adjustRightInd/>
        <w:snapToGrid/>
        <w:spacing w:before="86"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（二）开发范围</w:t>
      </w:r>
    </w:p>
    <w:p w14:paraId="62A398E3">
      <w:pPr>
        <w:pStyle w:val="4"/>
        <w:keepNext w:val="0"/>
        <w:keepLines w:val="0"/>
        <w:pageBreakBefore w:val="0"/>
        <w:kinsoku/>
        <w:wordWrap/>
        <w:overflowPunct/>
        <w:topLinePunct w:val="0"/>
        <w:bidi w:val="0"/>
        <w:adjustRightInd/>
        <w:snapToGrid/>
        <w:spacing w:line="560" w:lineRule="exact"/>
        <w:ind w:firstLine="560" w:firstLineChars="200"/>
        <w:jc w:val="both"/>
        <w:textAlignment w:val="auto"/>
        <w:rPr>
          <w:rFonts w:hint="default" w:ascii="Times New Roman" w:hAnsi="Times New Roman" w:cs="Times New Roman"/>
          <w:w w:val="99"/>
          <w:lang w:eastAsia="zh-CN"/>
        </w:rPr>
      </w:pPr>
      <w:r>
        <w:rPr>
          <w:rFonts w:hint="default" w:ascii="Times New Roman" w:hAnsi="Times New Roman" w:cs="Times New Roman"/>
          <w:lang w:eastAsia="zh-CN"/>
        </w:rPr>
        <w:t>《调整方案》总用地面积26.1639公顷，农用地面积25.3447公顷（其中耕地20.4123公顷），实际拟征收</w:t>
      </w:r>
      <w:r>
        <w:rPr>
          <w:rFonts w:hint="default" w:ascii="Times New Roman" w:hAnsi="Times New Roman" w:cs="Times New Roman"/>
          <w:w w:val="99"/>
          <w:lang w:eastAsia="zh-CN"/>
        </w:rPr>
        <w:t>集体土地</w:t>
      </w:r>
      <w:r>
        <w:rPr>
          <w:rFonts w:hint="default" w:ascii="Times New Roman" w:hAnsi="Times New Roman" w:cs="Times New Roman"/>
          <w:spacing w:val="4"/>
          <w:w w:val="99"/>
          <w:lang w:eastAsia="zh-CN"/>
        </w:rPr>
        <w:t>15.6990</w:t>
      </w:r>
      <w:r>
        <w:rPr>
          <w:rFonts w:hint="default" w:ascii="Times New Roman" w:hAnsi="Times New Roman" w:cs="Times New Roman"/>
          <w:w w:val="99"/>
          <w:lang w:eastAsia="zh-CN"/>
        </w:rPr>
        <w:t>公顷。</w:t>
      </w:r>
    </w:p>
    <w:p w14:paraId="066A85C2">
      <w:pPr>
        <w:pStyle w:val="4"/>
        <w:keepNext w:val="0"/>
        <w:keepLines w:val="0"/>
        <w:pageBreakBefore w:val="0"/>
        <w:kinsoku/>
        <w:wordWrap/>
        <w:overflowPunct/>
        <w:topLinePunct w:val="0"/>
        <w:bidi w:val="0"/>
        <w:adjustRightInd/>
        <w:snapToGrid/>
        <w:spacing w:line="560" w:lineRule="exact"/>
        <w:ind w:firstLine="554" w:firstLineChars="200"/>
        <w:jc w:val="both"/>
        <w:textAlignment w:val="auto"/>
        <w:rPr>
          <w:rFonts w:hint="default" w:ascii="Times New Roman" w:hAnsi="Times New Roman" w:cs="Times New Roman"/>
          <w:w w:val="99"/>
          <w:lang w:eastAsia="zh-CN"/>
        </w:rPr>
      </w:pPr>
    </w:p>
    <w:p w14:paraId="5F1CBAA6">
      <w:pPr>
        <w:pStyle w:val="2"/>
        <w:keepNext w:val="0"/>
        <w:keepLines w:val="0"/>
        <w:pageBreakBefore w:val="0"/>
        <w:kinsoku/>
        <w:wordWrap/>
        <w:overflowPunct/>
        <w:topLinePunct w:val="0"/>
        <w:bidi w:val="0"/>
        <w:adjustRightInd/>
        <w:snapToGrid/>
        <w:spacing w:before="12" w:line="560" w:lineRule="exact"/>
        <w:ind w:left="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三、成片开发条件分析</w:t>
      </w:r>
    </w:p>
    <w:p w14:paraId="6C31500A">
      <w:pPr>
        <w:pStyle w:val="4"/>
        <w:keepNext w:val="0"/>
        <w:keepLines w:val="0"/>
        <w:pageBreakBefore w:val="0"/>
        <w:kinsoku/>
        <w:wordWrap/>
        <w:overflowPunct/>
        <w:topLinePunct w:val="0"/>
        <w:bidi w:val="0"/>
        <w:adjustRightInd/>
        <w:snapToGrid/>
        <w:spacing w:before="86"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（一）必要性分析</w:t>
      </w:r>
    </w:p>
    <w:p w14:paraId="10D65B99">
      <w:pPr>
        <w:pStyle w:val="4"/>
        <w:keepNext w:val="0"/>
        <w:keepLines w:val="0"/>
        <w:pageBreakBefore w:val="0"/>
        <w:kinsoku/>
        <w:wordWrap/>
        <w:overflowPunct/>
        <w:topLinePunct w:val="0"/>
        <w:bidi w:val="0"/>
        <w:adjustRightInd/>
        <w:snapToGrid/>
        <w:spacing w:before="86"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本次土地征收成片开发强化提升都市核心区带动能力。</w:t>
      </w:r>
      <w:r>
        <w:rPr>
          <w:rFonts w:hint="default" w:ascii="Times New Roman" w:hAnsi="Times New Roman" w:cs="Times New Roman"/>
          <w:spacing w:val="-4"/>
          <w:lang w:eastAsia="zh-CN"/>
        </w:rPr>
        <w:t>通过土地征收成片开发，聚焦“区域协调”，构建高质量发展格局。重点抓好开平大道两侧、高铁新城和潭江新城3个城市新区建设，打造江门“副核心”。做好中心城区建设，谋划好“一环三片区”，以环城公路为纽带，有机联接潭江新城、开平大道两侧和开平南站周边等三大片区，增强中心城区辐射带和综合服务能力；提升潭江新城建设水平，加</w:t>
      </w:r>
      <w:r>
        <w:rPr>
          <w:rFonts w:hint="eastAsia" w:ascii="Times New Roman" w:hAnsi="Times New Roman" w:cs="Times New Roman"/>
          <w:spacing w:val="-4"/>
          <w:lang w:eastAsia="zh-CN"/>
        </w:rPr>
        <w:t>强高</w:t>
      </w:r>
      <w:r>
        <w:rPr>
          <w:rFonts w:hint="default" w:ascii="Times New Roman" w:hAnsi="Times New Roman" w:cs="Times New Roman"/>
          <w:spacing w:val="-4"/>
          <w:lang w:eastAsia="zh-CN"/>
        </w:rPr>
        <w:t>水平学校、文体场馆建设。促进开平大道两侧商业商务发展，加快与翠山湖高新区融合，推动基础配套设施与公共服务提档升级，完善生活配套设施，变“产业园区”为“产业社区”，提高区域发展平衡性和协调性。</w:t>
      </w:r>
    </w:p>
    <w:p w14:paraId="20A5AA9C">
      <w:pPr>
        <w:pStyle w:val="4"/>
        <w:keepNext w:val="0"/>
        <w:keepLines w:val="0"/>
        <w:pageBreakBefore w:val="0"/>
        <w:kinsoku/>
        <w:wordWrap/>
        <w:overflowPunct/>
        <w:topLinePunct w:val="0"/>
        <w:bidi w:val="0"/>
        <w:adjustRightInd/>
        <w:snapToGrid/>
        <w:spacing w:before="86"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（二）合规性分析</w:t>
      </w:r>
    </w:p>
    <w:p w14:paraId="1C6ED6CD">
      <w:pPr>
        <w:pStyle w:val="4"/>
        <w:keepNext w:val="0"/>
        <w:keepLines w:val="0"/>
        <w:pageBreakBefore w:val="0"/>
        <w:kinsoku/>
        <w:wordWrap/>
        <w:overflowPunct/>
        <w:topLinePunct w:val="0"/>
        <w:bidi w:val="0"/>
        <w:adjustRightInd/>
        <w:snapToGrid/>
        <w:spacing w:before="86"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近五年来，开平市平均供地率为72.38%、平均土地闲置率为0.18%，土地利用效率高。本次成片开发项目已纳入国民经济和社会发展年度计划，公益性用地比例为</w:t>
      </w:r>
      <w:r>
        <w:rPr>
          <w:rFonts w:hint="default" w:ascii="Times New Roman" w:hAnsi="Times New Roman" w:cs="Times New Roman"/>
          <w:spacing w:val="-4"/>
          <w:lang w:eastAsia="zh-CN"/>
        </w:rPr>
        <w:t>40</w:t>
      </w:r>
      <w:r>
        <w:rPr>
          <w:rFonts w:hint="default" w:ascii="Times New Roman" w:hAnsi="Times New Roman" w:cs="Times New Roman"/>
          <w:lang w:eastAsia="zh-CN"/>
        </w:rPr>
        <w:t>%，不涉及占用永久基本农田和生态保护红线，本次土地征收成片开发方案符合国民经济和社会发展规划、国土空间总体规划和控制性详细规划，做到了保护耕地、节约集约用地、保护生态环境，能够促进经济社会可持续发展。</w:t>
      </w:r>
    </w:p>
    <w:p w14:paraId="3FF67D41">
      <w:pPr>
        <w:pStyle w:val="2"/>
        <w:keepNext w:val="0"/>
        <w:keepLines w:val="0"/>
        <w:pageBreakBefore w:val="0"/>
        <w:kinsoku/>
        <w:wordWrap/>
        <w:overflowPunct/>
        <w:topLinePunct w:val="0"/>
        <w:bidi w:val="0"/>
        <w:adjustRightInd/>
        <w:snapToGrid/>
        <w:spacing w:before="12" w:line="560" w:lineRule="exact"/>
        <w:ind w:left="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四、土地用途与公益性用地情况</w:t>
      </w:r>
    </w:p>
    <w:p w14:paraId="44825D4F">
      <w:pPr>
        <w:pStyle w:val="4"/>
        <w:keepNext w:val="0"/>
        <w:keepLines w:val="0"/>
        <w:pageBreakBefore w:val="0"/>
        <w:kinsoku/>
        <w:wordWrap/>
        <w:overflowPunct/>
        <w:topLinePunct w:val="0"/>
        <w:bidi w:val="0"/>
        <w:adjustRightInd/>
        <w:snapToGrid/>
        <w:spacing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（一）土地用途</w:t>
      </w:r>
    </w:p>
    <w:p w14:paraId="55C07942">
      <w:pPr>
        <w:pStyle w:val="4"/>
        <w:keepNext w:val="0"/>
        <w:keepLines w:val="0"/>
        <w:pageBreakBefore w:val="0"/>
        <w:kinsoku/>
        <w:wordWrap/>
        <w:overflowPunct/>
        <w:topLinePunct w:val="0"/>
        <w:bidi w:val="0"/>
        <w:adjustRightInd/>
        <w:snapToGrid/>
        <w:spacing w:line="560" w:lineRule="exact"/>
        <w:ind w:right="85" w:firstLine="560" w:firstLineChars="200"/>
        <w:jc w:val="both"/>
        <w:textAlignment w:val="auto"/>
        <w:rPr>
          <w:rFonts w:hint="default" w:ascii="Times New Roman" w:hAnsi="Times New Roman" w:cs="Times New Roman"/>
          <w:spacing w:val="-4"/>
          <w:lang w:eastAsia="zh-CN"/>
        </w:rPr>
      </w:pPr>
      <w:r>
        <w:rPr>
          <w:rFonts w:hint="default" w:ascii="Times New Roman" w:hAnsi="Times New Roman" w:cs="Times New Roman"/>
          <w:lang w:eastAsia="zh-CN"/>
        </w:rPr>
        <w:t>《调整方案》</w:t>
      </w:r>
      <w:r>
        <w:rPr>
          <w:rFonts w:hint="default" w:ascii="Times New Roman" w:hAnsi="Times New Roman" w:cs="Times New Roman"/>
          <w:spacing w:val="-4"/>
          <w:lang w:eastAsia="zh-CN"/>
        </w:rPr>
        <w:t>成片开发范围共1个片区，功能分区为居住生活区、商业商务区，详情下表。片区最终用途以法定规划实际批复用地性质为准。</w:t>
      </w:r>
    </w:p>
    <w:p w14:paraId="504EEA96">
      <w:pPr>
        <w:pStyle w:val="4"/>
        <w:keepNext w:val="0"/>
        <w:keepLines w:val="0"/>
        <w:pageBreakBefore w:val="0"/>
        <w:kinsoku/>
        <w:wordWrap/>
        <w:overflowPunct/>
        <w:topLinePunct w:val="0"/>
        <w:bidi w:val="0"/>
        <w:adjustRightInd/>
        <w:snapToGrid/>
        <w:spacing w:before="1" w:line="560" w:lineRule="exact"/>
        <w:ind w:right="234" w:firstLine="476" w:firstLineChars="200"/>
        <w:jc w:val="center"/>
        <w:textAlignment w:val="auto"/>
        <w:rPr>
          <w:rFonts w:hint="default" w:ascii="Times New Roman" w:hAnsi="Times New Roman" w:cs="Times New Roman"/>
          <w:b/>
          <w:bCs/>
          <w:sz w:val="24"/>
          <w:szCs w:val="24"/>
          <w:lang w:eastAsia="zh-CN"/>
        </w:rPr>
      </w:pPr>
      <w:r>
        <w:rPr>
          <w:rFonts w:hint="default" w:ascii="Times New Roman" w:hAnsi="Times New Roman" w:cs="Times New Roman"/>
          <w:b/>
          <w:bCs/>
          <w:w w:val="99"/>
          <w:sz w:val="24"/>
          <w:szCs w:val="24"/>
          <w:lang w:eastAsia="zh-CN"/>
        </w:rPr>
        <w:t>表2 片区土地用途汇总表</w:t>
      </w:r>
    </w:p>
    <w:tbl>
      <w:tblPr>
        <w:tblStyle w:val="9"/>
        <w:tblW w:w="5000" w:type="pct"/>
        <w:tblInd w:w="0" w:type="dxa"/>
        <w:tblLayout w:type="autofit"/>
        <w:tblCellMar>
          <w:top w:w="0" w:type="dxa"/>
          <w:left w:w="108" w:type="dxa"/>
          <w:bottom w:w="0" w:type="dxa"/>
          <w:right w:w="108" w:type="dxa"/>
        </w:tblCellMar>
      </w:tblPr>
      <w:tblGrid>
        <w:gridCol w:w="698"/>
        <w:gridCol w:w="2956"/>
        <w:gridCol w:w="2376"/>
        <w:gridCol w:w="2736"/>
      </w:tblGrid>
      <w:tr w14:paraId="28E576AC">
        <w:tblPrEx>
          <w:tblCellMar>
            <w:top w:w="0" w:type="dxa"/>
            <w:left w:w="108" w:type="dxa"/>
            <w:bottom w:w="0" w:type="dxa"/>
            <w:right w:w="108" w:type="dxa"/>
          </w:tblCellMar>
        </w:tblPrEx>
        <w:trPr>
          <w:trHeight w:val="285" w:hRule="atLeast"/>
        </w:trPr>
        <w:tc>
          <w:tcPr>
            <w:tcW w:w="66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74938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z w:val="24"/>
                <w:szCs w:val="24"/>
                <w:lang w:eastAsia="zh-CN"/>
              </w:rPr>
            </w:pPr>
            <w:r>
              <w:rPr>
                <w:rFonts w:hint="default" w:ascii="Times New Roman" w:hAnsi="Times New Roman" w:cs="Times New Roman"/>
                <w:b/>
                <w:bCs/>
                <w:color w:val="000000"/>
                <w:sz w:val="24"/>
                <w:szCs w:val="24"/>
                <w:lang w:eastAsia="zh-CN"/>
              </w:rPr>
              <w:t>序号</w:t>
            </w:r>
          </w:p>
        </w:tc>
        <w:tc>
          <w:tcPr>
            <w:tcW w:w="1986" w:type="pct"/>
            <w:tcBorders>
              <w:top w:val="single" w:color="auto" w:sz="4" w:space="0"/>
              <w:left w:val="nil"/>
              <w:bottom w:val="single" w:color="auto" w:sz="4" w:space="0"/>
              <w:right w:val="single" w:color="auto" w:sz="4" w:space="0"/>
            </w:tcBorders>
            <w:shd w:val="clear" w:color="auto" w:fill="auto"/>
            <w:noWrap/>
            <w:vAlign w:val="center"/>
          </w:tcPr>
          <w:p w14:paraId="024D94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z w:val="24"/>
                <w:szCs w:val="24"/>
                <w:lang w:eastAsia="zh-CN"/>
              </w:rPr>
            </w:pPr>
            <w:r>
              <w:rPr>
                <w:rFonts w:hint="default" w:ascii="Times New Roman" w:hAnsi="Times New Roman" w:cs="Times New Roman"/>
                <w:b/>
                <w:bCs/>
                <w:color w:val="000000"/>
                <w:sz w:val="24"/>
                <w:szCs w:val="24"/>
                <w:lang w:eastAsia="zh-CN"/>
              </w:rPr>
              <w:t>片区名称</w:t>
            </w:r>
          </w:p>
        </w:tc>
        <w:tc>
          <w:tcPr>
            <w:tcW w:w="1347" w:type="pct"/>
            <w:tcBorders>
              <w:top w:val="single" w:color="auto" w:sz="4" w:space="0"/>
              <w:left w:val="nil"/>
              <w:bottom w:val="single" w:color="auto" w:sz="4" w:space="0"/>
              <w:right w:val="single" w:color="auto" w:sz="4" w:space="0"/>
            </w:tcBorders>
            <w:shd w:val="clear" w:color="auto" w:fill="auto"/>
            <w:noWrap/>
            <w:vAlign w:val="center"/>
          </w:tcPr>
          <w:p w14:paraId="755799A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z w:val="24"/>
                <w:szCs w:val="24"/>
                <w:lang w:eastAsia="zh-CN"/>
              </w:rPr>
            </w:pPr>
            <w:r>
              <w:rPr>
                <w:rFonts w:hint="default" w:ascii="Times New Roman" w:hAnsi="Times New Roman" w:cs="Times New Roman"/>
                <w:b/>
                <w:bCs/>
                <w:color w:val="000000"/>
                <w:sz w:val="24"/>
                <w:szCs w:val="24"/>
                <w:lang w:eastAsia="zh-CN"/>
              </w:rPr>
              <w:t>拟安排项目</w:t>
            </w:r>
          </w:p>
        </w:tc>
        <w:tc>
          <w:tcPr>
            <w:tcW w:w="1004" w:type="pct"/>
            <w:tcBorders>
              <w:top w:val="single" w:color="auto" w:sz="4" w:space="0"/>
              <w:left w:val="nil"/>
              <w:bottom w:val="single" w:color="auto" w:sz="4" w:space="0"/>
              <w:right w:val="single" w:color="auto" w:sz="4" w:space="0"/>
            </w:tcBorders>
            <w:shd w:val="clear" w:color="auto" w:fill="auto"/>
            <w:noWrap/>
            <w:vAlign w:val="center"/>
          </w:tcPr>
          <w:p w14:paraId="3CAF373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bCs/>
                <w:color w:val="000000"/>
                <w:sz w:val="24"/>
                <w:szCs w:val="24"/>
                <w:lang w:eastAsia="zh-CN"/>
              </w:rPr>
            </w:pPr>
            <w:r>
              <w:rPr>
                <w:rFonts w:hint="default" w:ascii="Times New Roman" w:hAnsi="Times New Roman" w:cs="Times New Roman"/>
                <w:b/>
                <w:bCs/>
                <w:color w:val="000000"/>
                <w:sz w:val="24"/>
                <w:szCs w:val="24"/>
                <w:lang w:eastAsia="zh-CN"/>
              </w:rPr>
              <w:t>规划功能分区</w:t>
            </w:r>
          </w:p>
        </w:tc>
      </w:tr>
      <w:tr w14:paraId="6C70F065">
        <w:tblPrEx>
          <w:tblCellMar>
            <w:top w:w="0" w:type="dxa"/>
            <w:left w:w="108" w:type="dxa"/>
            <w:bottom w:w="0" w:type="dxa"/>
            <w:right w:w="108" w:type="dxa"/>
          </w:tblCellMar>
        </w:tblPrEx>
        <w:trPr>
          <w:trHeight w:val="563" w:hRule="atLeast"/>
        </w:trPr>
        <w:tc>
          <w:tcPr>
            <w:tcW w:w="663" w:type="pct"/>
            <w:tcBorders>
              <w:top w:val="nil"/>
              <w:left w:val="single" w:color="auto" w:sz="4" w:space="0"/>
              <w:bottom w:val="single" w:color="auto" w:sz="4" w:space="0"/>
              <w:right w:val="single" w:color="auto" w:sz="4" w:space="0"/>
            </w:tcBorders>
            <w:shd w:val="clear" w:color="auto" w:fill="auto"/>
            <w:noWrap/>
            <w:vAlign w:val="center"/>
          </w:tcPr>
          <w:p w14:paraId="0606617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1</w:t>
            </w:r>
          </w:p>
        </w:tc>
        <w:tc>
          <w:tcPr>
            <w:tcW w:w="1986" w:type="pct"/>
            <w:tcBorders>
              <w:top w:val="nil"/>
              <w:left w:val="nil"/>
              <w:bottom w:val="single" w:color="auto" w:sz="4" w:space="0"/>
              <w:right w:val="single" w:color="auto" w:sz="4" w:space="0"/>
            </w:tcBorders>
            <w:shd w:val="clear" w:color="000000" w:fill="FFFFFF"/>
            <w:vAlign w:val="center"/>
          </w:tcPr>
          <w:p w14:paraId="3DD659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开平大道东汇城西侧居住片区</w:t>
            </w:r>
          </w:p>
        </w:tc>
        <w:tc>
          <w:tcPr>
            <w:tcW w:w="1347" w:type="pct"/>
            <w:tcBorders>
              <w:top w:val="nil"/>
              <w:left w:val="nil"/>
              <w:bottom w:val="single" w:color="auto" w:sz="4" w:space="0"/>
              <w:right w:val="single" w:color="auto" w:sz="4" w:space="0"/>
            </w:tcBorders>
            <w:shd w:val="clear" w:color="auto" w:fill="auto"/>
            <w:noWrap/>
            <w:vAlign w:val="center"/>
          </w:tcPr>
          <w:p w14:paraId="6338C3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居住项目、商业项目</w:t>
            </w:r>
          </w:p>
        </w:tc>
        <w:tc>
          <w:tcPr>
            <w:tcW w:w="1004" w:type="pct"/>
            <w:tcBorders>
              <w:top w:val="nil"/>
              <w:left w:val="nil"/>
              <w:bottom w:val="single" w:color="auto" w:sz="4" w:space="0"/>
              <w:right w:val="single" w:color="auto" w:sz="4" w:space="0"/>
            </w:tcBorders>
            <w:shd w:val="clear" w:color="auto" w:fill="auto"/>
            <w:noWrap/>
            <w:vAlign w:val="center"/>
          </w:tcPr>
          <w:p w14:paraId="13A2ED2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000000"/>
                <w:sz w:val="24"/>
                <w:szCs w:val="24"/>
                <w:lang w:eastAsia="zh-CN"/>
              </w:rPr>
            </w:pPr>
            <w:r>
              <w:rPr>
                <w:rFonts w:hint="default" w:ascii="Times New Roman" w:hAnsi="Times New Roman" w:cs="Times New Roman"/>
                <w:color w:val="000000"/>
                <w:sz w:val="24"/>
                <w:szCs w:val="24"/>
                <w:lang w:eastAsia="zh-CN"/>
              </w:rPr>
              <w:t>居住生活区、</w:t>
            </w:r>
            <w:r>
              <w:rPr>
                <w:rFonts w:hint="default" w:ascii="Times New Roman" w:hAnsi="Times New Roman" w:cs="Times New Roman"/>
                <w:spacing w:val="-4"/>
                <w:lang w:eastAsia="zh-CN"/>
              </w:rPr>
              <w:t>商业商务区</w:t>
            </w:r>
          </w:p>
        </w:tc>
      </w:tr>
    </w:tbl>
    <w:p w14:paraId="0C5AB721">
      <w:pPr>
        <w:pStyle w:val="4"/>
        <w:keepNext w:val="0"/>
        <w:keepLines w:val="0"/>
        <w:pageBreakBefore w:val="0"/>
        <w:kinsoku/>
        <w:wordWrap/>
        <w:overflowPunct/>
        <w:topLinePunct w:val="0"/>
        <w:bidi w:val="0"/>
        <w:adjustRightInd/>
        <w:snapToGrid/>
        <w:spacing w:line="560" w:lineRule="exact"/>
        <w:textAlignment w:val="auto"/>
        <w:rPr>
          <w:rFonts w:hint="default" w:ascii="Times New Roman" w:hAnsi="Times New Roman" w:cs="Times New Roman"/>
          <w:sz w:val="20"/>
          <w:lang w:eastAsia="zh-CN"/>
        </w:rPr>
      </w:pPr>
    </w:p>
    <w:p w14:paraId="466E0EFA">
      <w:pPr>
        <w:pStyle w:val="4"/>
        <w:keepNext w:val="0"/>
        <w:keepLines w:val="0"/>
        <w:pageBreakBefore w:val="0"/>
        <w:kinsoku/>
        <w:wordWrap/>
        <w:overflowPunct/>
        <w:topLinePunct w:val="0"/>
        <w:bidi w:val="0"/>
        <w:adjustRightInd/>
        <w:snapToGrid/>
        <w:spacing w:before="1"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（二）公益性用地情况</w:t>
      </w:r>
    </w:p>
    <w:p w14:paraId="7BBB86F0">
      <w:pPr>
        <w:pStyle w:val="4"/>
        <w:keepNext w:val="0"/>
        <w:keepLines w:val="0"/>
        <w:pageBreakBefore w:val="0"/>
        <w:kinsoku/>
        <w:wordWrap/>
        <w:overflowPunct/>
        <w:topLinePunct w:val="0"/>
        <w:bidi w:val="0"/>
        <w:adjustRightInd/>
        <w:snapToGrid/>
        <w:spacing w:before="1"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《调整方案》成片开发区域内公益性用地10.4649公顷，占总用地比例40%，分别为公共管理与公共服务用地、交通运输用地、绿地与开敞空间用地，符合《自然资源部关于印发</w:t>
      </w:r>
      <w:r>
        <w:rPr>
          <w:rFonts w:hint="eastAsia" w:ascii="Times New Roman" w:hAnsi="Times New Roman" w:cs="Times New Roman"/>
          <w:lang w:eastAsia="zh-CN"/>
        </w:rPr>
        <w:t>〈</w:t>
      </w:r>
      <w:r>
        <w:rPr>
          <w:rFonts w:hint="default" w:ascii="Times New Roman" w:hAnsi="Times New Roman" w:cs="Times New Roman"/>
          <w:lang w:eastAsia="zh-CN"/>
        </w:rPr>
        <w:t>土地征收成片开发标准</w:t>
      </w:r>
      <w:r>
        <w:rPr>
          <w:rFonts w:hint="eastAsia" w:ascii="Times New Roman" w:hAnsi="Times New Roman" w:cs="Times New Roman"/>
          <w:lang w:eastAsia="zh-CN"/>
        </w:rPr>
        <w:t>〉</w:t>
      </w:r>
      <w:r>
        <w:rPr>
          <w:rFonts w:hint="default" w:ascii="Times New Roman" w:hAnsi="Times New Roman" w:cs="Times New Roman"/>
          <w:lang w:eastAsia="zh-CN"/>
        </w:rPr>
        <w:t>的通知》（自然资规〔2023〕7号）公益性用地比例一般不低于 40%的要求。</w:t>
      </w:r>
    </w:p>
    <w:p w14:paraId="6434A7DC">
      <w:pPr>
        <w:pStyle w:val="2"/>
        <w:keepNext w:val="0"/>
        <w:keepLines w:val="0"/>
        <w:pageBreakBefore w:val="0"/>
        <w:kinsoku/>
        <w:wordWrap/>
        <w:overflowPunct/>
        <w:topLinePunct w:val="0"/>
        <w:bidi w:val="0"/>
        <w:adjustRightInd/>
        <w:snapToGrid/>
        <w:spacing w:before="12" w:line="560" w:lineRule="exact"/>
        <w:ind w:left="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五、实施计划</w:t>
      </w:r>
    </w:p>
    <w:p w14:paraId="37165497">
      <w:pPr>
        <w:pStyle w:val="4"/>
        <w:keepNext w:val="0"/>
        <w:keepLines w:val="0"/>
        <w:pageBreakBefore w:val="0"/>
        <w:kinsoku/>
        <w:wordWrap/>
        <w:overflowPunct/>
        <w:topLinePunct w:val="0"/>
        <w:bidi w:val="0"/>
        <w:adjustRightInd/>
        <w:snapToGrid/>
        <w:spacing w:before="1"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《调整方案》划定成片开发范围26.1639公顷，征收地块面积15.6990公顷，计划实施周期为2023</w:t>
      </w:r>
      <w:r>
        <w:rPr>
          <w:rFonts w:hint="eastAsia" w:ascii="Times New Roman" w:hAnsi="Times New Roman" w:cs="Times New Roman"/>
          <w:lang w:eastAsia="zh-CN"/>
        </w:rPr>
        <w:t>～</w:t>
      </w:r>
      <w:r>
        <w:rPr>
          <w:rFonts w:hint="default" w:ascii="Times New Roman" w:hAnsi="Times New Roman" w:cs="Times New Roman"/>
          <w:lang w:eastAsia="zh-CN"/>
        </w:rPr>
        <w:t>2025年，3年内完成土地征收和报批工作，其中2023年征收面积8.5322公顷，2024年征收面积6.7715公顷，2025年征收面积0.3953公顷。</w:t>
      </w:r>
    </w:p>
    <w:p w14:paraId="6EB8025D">
      <w:pPr>
        <w:pStyle w:val="2"/>
        <w:keepNext w:val="0"/>
        <w:keepLines w:val="0"/>
        <w:pageBreakBefore w:val="0"/>
        <w:kinsoku/>
        <w:wordWrap/>
        <w:overflowPunct/>
        <w:topLinePunct w:val="0"/>
        <w:bidi w:val="0"/>
        <w:adjustRightInd/>
        <w:snapToGrid/>
        <w:spacing w:before="12" w:line="560" w:lineRule="exact"/>
        <w:ind w:left="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六、效益评估</w:t>
      </w:r>
    </w:p>
    <w:p w14:paraId="379D355A">
      <w:pPr>
        <w:pStyle w:val="4"/>
        <w:keepNext w:val="0"/>
        <w:keepLines w:val="0"/>
        <w:pageBreakBefore w:val="0"/>
        <w:kinsoku/>
        <w:wordWrap/>
        <w:overflowPunct/>
        <w:topLinePunct w:val="0"/>
        <w:bidi w:val="0"/>
        <w:adjustRightInd/>
        <w:snapToGrid/>
        <w:spacing w:before="1"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（一）土地利用效益评估</w:t>
      </w:r>
    </w:p>
    <w:p w14:paraId="1E547EFE">
      <w:pPr>
        <w:pStyle w:val="4"/>
        <w:keepNext w:val="0"/>
        <w:keepLines w:val="0"/>
        <w:pageBreakBefore w:val="0"/>
        <w:kinsoku/>
        <w:wordWrap/>
        <w:overflowPunct/>
        <w:topLinePunct w:val="0"/>
        <w:bidi w:val="0"/>
        <w:adjustRightInd/>
        <w:snapToGrid/>
        <w:spacing w:before="1"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经本次土地征收成片开发，有利于优化增量片区内新增建设用地空间布局，满足开平市的建设发展需求，后续将按照详细规划确定的控制要求进行项目建设，实现土地集约节约利用。将有效推进用地节约集约利用，避免用地浪费，实现土地资源的合理配置。</w:t>
      </w:r>
    </w:p>
    <w:p w14:paraId="2A98966A">
      <w:pPr>
        <w:pStyle w:val="4"/>
        <w:keepNext w:val="0"/>
        <w:keepLines w:val="0"/>
        <w:pageBreakBefore w:val="0"/>
        <w:kinsoku/>
        <w:wordWrap/>
        <w:overflowPunct/>
        <w:topLinePunct w:val="0"/>
        <w:bidi w:val="0"/>
        <w:adjustRightInd/>
        <w:snapToGrid/>
        <w:spacing w:before="1"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（二）经济效益评估</w:t>
      </w:r>
    </w:p>
    <w:p w14:paraId="27E160CD">
      <w:pPr>
        <w:pStyle w:val="4"/>
        <w:keepNext w:val="0"/>
        <w:keepLines w:val="0"/>
        <w:pageBreakBefore w:val="0"/>
        <w:kinsoku/>
        <w:wordWrap/>
        <w:overflowPunct/>
        <w:topLinePunct w:val="0"/>
        <w:bidi w:val="0"/>
        <w:adjustRightInd/>
        <w:snapToGrid/>
        <w:spacing w:before="1"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有效促进开平市优势产业的集聚发展以及创新平台的形成，为重大创新载体与创新产业提供承载空间，加快区域经济格局的重构，推动开平市实现产业动能升级转换，助力开平市高质量发展，保障开平市中心城区开平大道两侧商业综合体、高端住宅顺利落地，助力将中心城区打造成为开平以体育休闲为标志的活力“北大门”、区域性旅游接待基地、具有岭南侨乡风情的宜居社区。</w:t>
      </w:r>
    </w:p>
    <w:p w14:paraId="569E4BF1">
      <w:pPr>
        <w:pStyle w:val="4"/>
        <w:keepNext w:val="0"/>
        <w:keepLines w:val="0"/>
        <w:pageBreakBefore w:val="0"/>
        <w:kinsoku/>
        <w:wordWrap/>
        <w:overflowPunct/>
        <w:topLinePunct w:val="0"/>
        <w:bidi w:val="0"/>
        <w:adjustRightInd/>
        <w:snapToGrid/>
        <w:spacing w:before="1"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（三）社会效益评估</w:t>
      </w:r>
    </w:p>
    <w:p w14:paraId="184EE250">
      <w:pPr>
        <w:pStyle w:val="4"/>
        <w:keepNext w:val="0"/>
        <w:keepLines w:val="0"/>
        <w:pageBreakBefore w:val="0"/>
        <w:kinsoku/>
        <w:wordWrap/>
        <w:overflowPunct/>
        <w:topLinePunct w:val="0"/>
        <w:bidi w:val="0"/>
        <w:adjustRightInd/>
        <w:snapToGrid/>
        <w:spacing w:before="1"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本次土地征收成片开发可推进成片开发范围内部及周边基础设施及公共服务设施的建设，提升区域公共服务水平。有效保障片区设施配套建设需求，形成高端住宅社区和商业休闲服务中心，打造品质舒适生活圈。扩大商业服务发展规模，吸收周边剩余劳动力，创造大量就业岗位，增加政府财政税收。营造城市总体形象及落实空间规划，符合国民经济和社会发展规划的要求，保障城市开发建设科学有序</w:t>
      </w:r>
      <w:r>
        <w:rPr>
          <w:rFonts w:hint="eastAsia" w:ascii="Times New Roman" w:hAnsi="Times New Roman" w:cs="Times New Roman"/>
          <w:lang w:eastAsia="zh-CN"/>
        </w:rPr>
        <w:t>地</w:t>
      </w:r>
      <w:r>
        <w:rPr>
          <w:rFonts w:hint="default" w:ascii="Times New Roman" w:hAnsi="Times New Roman" w:cs="Times New Roman"/>
          <w:lang w:eastAsia="zh-CN"/>
        </w:rPr>
        <w:t>推进。</w:t>
      </w:r>
    </w:p>
    <w:p w14:paraId="254CD9C0">
      <w:pPr>
        <w:pStyle w:val="4"/>
        <w:keepNext w:val="0"/>
        <w:keepLines w:val="0"/>
        <w:pageBreakBefore w:val="0"/>
        <w:kinsoku/>
        <w:wordWrap/>
        <w:overflowPunct/>
        <w:topLinePunct w:val="0"/>
        <w:bidi w:val="0"/>
        <w:adjustRightInd/>
        <w:snapToGrid/>
        <w:spacing w:before="1"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（四）生态效益评估</w:t>
      </w:r>
    </w:p>
    <w:p w14:paraId="11736D08">
      <w:pPr>
        <w:pStyle w:val="4"/>
        <w:keepNext w:val="0"/>
        <w:keepLines w:val="0"/>
        <w:pageBreakBefore w:val="0"/>
        <w:kinsoku/>
        <w:wordWrap/>
        <w:overflowPunct/>
        <w:topLinePunct w:val="0"/>
        <w:bidi w:val="0"/>
        <w:adjustRightInd/>
        <w:snapToGrid/>
        <w:spacing w:before="1" w:line="560" w:lineRule="exact"/>
        <w:ind w:firstLine="560" w:firstLineChars="200"/>
        <w:jc w:val="both"/>
        <w:textAlignment w:val="auto"/>
        <w:rPr>
          <w:rFonts w:hint="default" w:ascii="Times New Roman" w:hAnsi="Times New Roman" w:cs="Times New Roman"/>
          <w:lang w:eastAsia="zh-CN"/>
        </w:rPr>
      </w:pPr>
      <w:r>
        <w:rPr>
          <w:rFonts w:hint="default" w:ascii="Times New Roman" w:hAnsi="Times New Roman" w:cs="Times New Roman"/>
          <w:lang w:eastAsia="zh-CN"/>
        </w:rPr>
        <w:t>成片开发范围内建设项目后续应依托开平市优质山水生态资源本底，结合产业园、重点平台建设等项目详细规划设计提供多元的城市生态空间、改善城市环境，大力建设绿色园区、绿色住区，满足宜居城区建设要求，推动高品质城市建设，提升区域生态环境品质</w:t>
      </w:r>
      <w:r>
        <w:rPr>
          <w:rFonts w:hint="default" w:ascii="Times New Roman" w:hAnsi="Times New Roman" w:cs="Times New Roman"/>
          <w:w w:val="99"/>
          <w:lang w:eastAsia="zh-CN"/>
        </w:rPr>
        <w:t>。</w:t>
      </w:r>
    </w:p>
    <w:p w14:paraId="142A9976">
      <w:pPr>
        <w:pStyle w:val="2"/>
        <w:keepNext w:val="0"/>
        <w:keepLines w:val="0"/>
        <w:pageBreakBefore w:val="0"/>
        <w:kinsoku/>
        <w:wordWrap/>
        <w:overflowPunct/>
        <w:topLinePunct w:val="0"/>
        <w:bidi w:val="0"/>
        <w:adjustRightInd/>
        <w:snapToGrid/>
        <w:spacing w:before="12" w:line="560" w:lineRule="exact"/>
        <w:ind w:left="0"/>
        <w:textAlignment w:val="auto"/>
        <w:rPr>
          <w:rFonts w:hint="default" w:ascii="Times New Roman" w:hAnsi="Times New Roman" w:eastAsia="黑体" w:cs="Times New Roman"/>
          <w:lang w:eastAsia="zh-CN"/>
        </w:rPr>
      </w:pPr>
      <w:r>
        <w:rPr>
          <w:rFonts w:hint="default" w:ascii="Times New Roman" w:hAnsi="Times New Roman" w:eastAsia="黑体" w:cs="Times New Roman"/>
          <w:lang w:eastAsia="zh-CN"/>
        </w:rPr>
        <w:t>七、结论</w:t>
      </w:r>
    </w:p>
    <w:p w14:paraId="002B801F">
      <w:pPr>
        <w:pStyle w:val="4"/>
        <w:keepNext w:val="0"/>
        <w:keepLines w:val="0"/>
        <w:pageBreakBefore w:val="0"/>
        <w:kinsoku/>
        <w:wordWrap/>
        <w:overflowPunct/>
        <w:topLinePunct w:val="0"/>
        <w:bidi w:val="0"/>
        <w:adjustRightInd/>
        <w:snapToGrid/>
        <w:spacing w:line="560" w:lineRule="exact"/>
        <w:ind w:firstLine="560" w:firstLineChars="200"/>
        <w:jc w:val="both"/>
        <w:textAlignment w:val="auto"/>
        <w:rPr>
          <w:rFonts w:hint="default" w:ascii="Times New Roman" w:hAnsi="Times New Roman" w:cs="Times New Roman"/>
          <w:w w:val="99"/>
          <w:lang w:eastAsia="zh-CN"/>
        </w:rPr>
      </w:pPr>
      <w:r>
        <w:rPr>
          <w:rFonts w:hint="default" w:ascii="Times New Roman" w:hAnsi="Times New Roman" w:cs="Times New Roman"/>
          <w:lang w:eastAsia="zh-CN"/>
        </w:rPr>
        <w:t>综上所述，《江门市开平市2023年度土地征收成片开发方案（第一批调整）》符合《自然资源部关于印发</w:t>
      </w:r>
      <w:r>
        <w:rPr>
          <w:rFonts w:hint="eastAsia" w:ascii="Times New Roman" w:hAnsi="Times New Roman" w:cs="Times New Roman"/>
          <w:lang w:eastAsia="zh-CN"/>
        </w:rPr>
        <w:t>〈</w:t>
      </w:r>
      <w:r>
        <w:rPr>
          <w:rFonts w:hint="default" w:ascii="Times New Roman" w:hAnsi="Times New Roman" w:cs="Times New Roman"/>
          <w:lang w:eastAsia="zh-CN"/>
        </w:rPr>
        <w:t>土地征收成片开发标准</w:t>
      </w:r>
      <w:r>
        <w:rPr>
          <w:rFonts w:hint="eastAsia" w:ascii="Times New Roman" w:hAnsi="Times New Roman" w:cs="Times New Roman"/>
          <w:lang w:eastAsia="zh-CN"/>
        </w:rPr>
        <w:t>〉</w:t>
      </w:r>
      <w:r>
        <w:rPr>
          <w:rFonts w:hint="default" w:ascii="Times New Roman" w:hAnsi="Times New Roman" w:cs="Times New Roman"/>
          <w:lang w:eastAsia="zh-CN"/>
        </w:rPr>
        <w:t>的通知》（自然资规〔2023〕7号）和《广东省自然资源厅关于规范已批土地征收成片开发方案调整工作的通知》（粤自然资函〔2023〕210号）的要求</w:t>
      </w:r>
      <w:r>
        <w:rPr>
          <w:rFonts w:hint="default" w:ascii="Times New Roman" w:hAnsi="Times New Roman" w:cs="Times New Roman"/>
          <w:w w:val="99"/>
          <w:lang w:eastAsia="zh-CN"/>
        </w:rPr>
        <w:t>。</w:t>
      </w:r>
    </w:p>
    <w:p w14:paraId="74E359D1">
      <w:pPr>
        <w:pStyle w:val="4"/>
        <w:keepNext w:val="0"/>
        <w:keepLines w:val="0"/>
        <w:pageBreakBefore w:val="0"/>
        <w:kinsoku/>
        <w:wordWrap/>
        <w:overflowPunct/>
        <w:topLinePunct w:val="0"/>
        <w:bidi w:val="0"/>
        <w:adjustRightInd/>
        <w:snapToGrid/>
        <w:spacing w:line="560" w:lineRule="exact"/>
        <w:ind w:firstLine="554" w:firstLineChars="200"/>
        <w:jc w:val="both"/>
        <w:textAlignment w:val="auto"/>
        <w:rPr>
          <w:rFonts w:hint="default" w:ascii="Times New Roman" w:hAnsi="Times New Roman" w:cs="Times New Roman"/>
          <w:w w:val="99"/>
          <w:lang w:eastAsia="zh-CN"/>
        </w:rPr>
      </w:pPr>
    </w:p>
    <w:p w14:paraId="3928AB64">
      <w:pPr>
        <w:pStyle w:val="4"/>
        <w:keepNext w:val="0"/>
        <w:keepLines w:val="0"/>
        <w:pageBreakBefore w:val="0"/>
        <w:kinsoku/>
        <w:wordWrap/>
        <w:overflowPunct/>
        <w:topLinePunct w:val="0"/>
        <w:bidi w:val="0"/>
        <w:adjustRightInd/>
        <w:snapToGrid/>
        <w:spacing w:line="560" w:lineRule="exact"/>
        <w:ind w:firstLine="554" w:firstLineChars="200"/>
        <w:jc w:val="both"/>
        <w:textAlignment w:val="auto"/>
        <w:rPr>
          <w:rFonts w:hint="default" w:ascii="Times New Roman" w:hAnsi="Times New Roman" w:cs="Times New Roman"/>
          <w:w w:val="99"/>
          <w:lang w:eastAsia="zh-CN"/>
        </w:rPr>
      </w:pPr>
    </w:p>
    <w:p w14:paraId="408B848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开平市自然资源局</w:t>
      </w:r>
    </w:p>
    <w:p w14:paraId="37AA9BF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2024年9月</w:t>
      </w: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rPr>
        <w:t>日</w:t>
      </w:r>
    </w:p>
    <w:p w14:paraId="34DA25BC">
      <w:pPr>
        <w:pStyle w:val="4"/>
        <w:keepNext w:val="0"/>
        <w:keepLines w:val="0"/>
        <w:pageBreakBefore w:val="0"/>
        <w:kinsoku/>
        <w:wordWrap/>
        <w:overflowPunct/>
        <w:topLinePunct w:val="0"/>
        <w:bidi w:val="0"/>
        <w:adjustRightInd/>
        <w:snapToGrid/>
        <w:spacing w:line="560" w:lineRule="exact"/>
        <w:ind w:firstLine="554" w:firstLineChars="200"/>
        <w:jc w:val="both"/>
        <w:textAlignment w:val="auto"/>
        <w:rPr>
          <w:rFonts w:hint="default" w:ascii="Times New Roman" w:hAnsi="Times New Roman" w:cs="Times New Roman"/>
          <w:w w:val="99"/>
          <w:lang w:eastAsia="zh-CN"/>
        </w:rPr>
      </w:pPr>
      <w:bookmarkStart w:id="0" w:name="_GoBack"/>
      <w:bookmarkEnd w:id="0"/>
    </w:p>
    <w:sectPr>
      <w:footerReference r:id="rId3" w:type="default"/>
      <w:pgSz w:w="11910" w:h="16840"/>
      <w:pgMar w:top="1520" w:right="1680" w:bottom="1180" w:left="1680" w:header="0" w:footer="9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06BFE">
    <w:pPr>
      <w:pStyle w:val="4"/>
      <w:spacing w:line="14" w:lineRule="auto"/>
      <w:rPr>
        <w:rFonts w:hint="eastAsia"/>
        <w:sz w:val="20"/>
      </w:rPr>
    </w:pPr>
    <w:r>
      <w:rPr>
        <w:rFonts w:hint="eastAsia"/>
      </w:rPr>
      <w:pict>
        <v:shape id="_x0000_s1025" o:spid="_x0000_s1025" o:spt="202" type="#_x0000_t202" style="position:absolute;left:0pt;margin-left:293.3pt;margin-top:781.2pt;height:12.1pt;width:8.6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4CD10683">
                <w:pPr>
                  <w:spacing w:before="14"/>
                  <w:ind w:left="40"/>
                  <w:rPr>
                    <w:rFonts w:hint="eastAsia" w:ascii="Times New Roman"/>
                    <w:sz w:val="18"/>
                  </w:rPr>
                </w:pPr>
                <w:r>
                  <w:fldChar w:fldCharType="begin"/>
                </w:r>
                <w:r>
                  <w:rPr>
                    <w:rFonts w:ascii="Times New Roman"/>
                    <w:w w:val="101"/>
                    <w:sz w:val="18"/>
                  </w:rPr>
                  <w:instrText xml:space="preserve"> PAGE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useFELayout/>
    <w:compatSetting w:name="compatibilityMode" w:uri="http://schemas.microsoft.com/office/word" w:val="12"/>
  </w:compat>
  <w:docVars>
    <w:docVar w:name="commondata" w:val="eyJoZGlkIjoiMjNmY2IwOTc4ZDBjNzk2ZmZmNDNiNWNjYTY1NTU4MTQifQ=="/>
  </w:docVars>
  <w:rsids>
    <w:rsidRoot w:val="00903B1D"/>
    <w:rsid w:val="00006924"/>
    <w:rsid w:val="0003467E"/>
    <w:rsid w:val="000407F5"/>
    <w:rsid w:val="00055C20"/>
    <w:rsid w:val="00085A70"/>
    <w:rsid w:val="00090E3B"/>
    <w:rsid w:val="000A6ED2"/>
    <w:rsid w:val="00146E2C"/>
    <w:rsid w:val="001B27CD"/>
    <w:rsid w:val="001E426A"/>
    <w:rsid w:val="001E459B"/>
    <w:rsid w:val="00207876"/>
    <w:rsid w:val="0022229C"/>
    <w:rsid w:val="00226B5A"/>
    <w:rsid w:val="0026390A"/>
    <w:rsid w:val="0032797E"/>
    <w:rsid w:val="00336FB2"/>
    <w:rsid w:val="00396B62"/>
    <w:rsid w:val="004103FA"/>
    <w:rsid w:val="004345CF"/>
    <w:rsid w:val="00450A51"/>
    <w:rsid w:val="00453776"/>
    <w:rsid w:val="00460769"/>
    <w:rsid w:val="00494EAD"/>
    <w:rsid w:val="004F5AB3"/>
    <w:rsid w:val="005050C4"/>
    <w:rsid w:val="00565257"/>
    <w:rsid w:val="005A4CC3"/>
    <w:rsid w:val="005B110A"/>
    <w:rsid w:val="005E0A65"/>
    <w:rsid w:val="006063B8"/>
    <w:rsid w:val="00607DBE"/>
    <w:rsid w:val="00610F3B"/>
    <w:rsid w:val="0062200A"/>
    <w:rsid w:val="006347FA"/>
    <w:rsid w:val="00642149"/>
    <w:rsid w:val="006639BA"/>
    <w:rsid w:val="0067340B"/>
    <w:rsid w:val="006920A2"/>
    <w:rsid w:val="006A67EF"/>
    <w:rsid w:val="006B2B10"/>
    <w:rsid w:val="006E1D04"/>
    <w:rsid w:val="006E6A89"/>
    <w:rsid w:val="00707291"/>
    <w:rsid w:val="00726BDC"/>
    <w:rsid w:val="00743193"/>
    <w:rsid w:val="007A5AFB"/>
    <w:rsid w:val="007E7054"/>
    <w:rsid w:val="007F72BF"/>
    <w:rsid w:val="008333F1"/>
    <w:rsid w:val="00896DD3"/>
    <w:rsid w:val="008D77D5"/>
    <w:rsid w:val="008F60BB"/>
    <w:rsid w:val="00903B1D"/>
    <w:rsid w:val="00915DD0"/>
    <w:rsid w:val="00917B91"/>
    <w:rsid w:val="00940201"/>
    <w:rsid w:val="0095363B"/>
    <w:rsid w:val="00957D70"/>
    <w:rsid w:val="009A6F3F"/>
    <w:rsid w:val="009B3ED8"/>
    <w:rsid w:val="009B75A5"/>
    <w:rsid w:val="009D4D59"/>
    <w:rsid w:val="00A4188A"/>
    <w:rsid w:val="00A42139"/>
    <w:rsid w:val="00B12AE1"/>
    <w:rsid w:val="00B3035F"/>
    <w:rsid w:val="00B31618"/>
    <w:rsid w:val="00B431D4"/>
    <w:rsid w:val="00B432FC"/>
    <w:rsid w:val="00B47778"/>
    <w:rsid w:val="00B94427"/>
    <w:rsid w:val="00BA6FFE"/>
    <w:rsid w:val="00BB0DF1"/>
    <w:rsid w:val="00BD679E"/>
    <w:rsid w:val="00BF1000"/>
    <w:rsid w:val="00C14D86"/>
    <w:rsid w:val="00CA044B"/>
    <w:rsid w:val="00CB73C3"/>
    <w:rsid w:val="00D061BD"/>
    <w:rsid w:val="00D54B33"/>
    <w:rsid w:val="00D8374C"/>
    <w:rsid w:val="00D93C44"/>
    <w:rsid w:val="00DA7FC2"/>
    <w:rsid w:val="00E216FC"/>
    <w:rsid w:val="00E3370E"/>
    <w:rsid w:val="00E354BF"/>
    <w:rsid w:val="00E35C7C"/>
    <w:rsid w:val="00E45FE4"/>
    <w:rsid w:val="00E47AED"/>
    <w:rsid w:val="00EB1995"/>
    <w:rsid w:val="00EE4371"/>
    <w:rsid w:val="00F16A45"/>
    <w:rsid w:val="00F21F60"/>
    <w:rsid w:val="00F2720A"/>
    <w:rsid w:val="00F605CE"/>
    <w:rsid w:val="00F76E0F"/>
    <w:rsid w:val="00F80D16"/>
    <w:rsid w:val="00F872D3"/>
    <w:rsid w:val="00F93997"/>
    <w:rsid w:val="05883ED0"/>
    <w:rsid w:val="16883533"/>
    <w:rsid w:val="35A74CCE"/>
    <w:rsid w:val="41263FC1"/>
    <w:rsid w:val="60E42D4B"/>
    <w:rsid w:val="702A3B50"/>
    <w:rsid w:val="704A6848"/>
    <w:rsid w:val="7C133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仿宋_GB2312" w:hAnsi="仿宋_GB2312" w:eastAsia="仿宋_GB2312" w:cs="仿宋_GB2312"/>
      <w:sz w:val="22"/>
      <w:szCs w:val="22"/>
      <w:lang w:val="en-US" w:eastAsia="en-US" w:bidi="ar-SA"/>
    </w:rPr>
  </w:style>
  <w:style w:type="paragraph" w:styleId="2">
    <w:name w:val="heading 1"/>
    <w:basedOn w:val="1"/>
    <w:qFormat/>
    <w:uiPriority w:val="9"/>
    <w:pPr>
      <w:spacing w:before="47"/>
      <w:ind w:left="120"/>
      <w:outlineLvl w:val="0"/>
    </w:pPr>
    <w:rPr>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style>
  <w:style w:type="paragraph" w:styleId="4">
    <w:name w:val="Body Text"/>
    <w:basedOn w:val="1"/>
    <w:qFormat/>
    <w:uiPriority w:val="1"/>
    <w:rPr>
      <w:sz w:val="28"/>
      <w:szCs w:val="28"/>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9"/>
    <w:semiHidden/>
    <w:unhideWhenUsed/>
    <w:qFormat/>
    <w:uiPriority w:val="99"/>
    <w:rPr>
      <w:b/>
      <w:bCs/>
    </w:rPr>
  </w:style>
  <w:style w:type="character" w:styleId="11">
    <w:name w:val="annotation reference"/>
    <w:basedOn w:val="10"/>
    <w:semiHidden/>
    <w:unhideWhenUsed/>
    <w:qFormat/>
    <w:uiPriority w:val="99"/>
    <w:rPr>
      <w:sz w:val="21"/>
      <w:szCs w:val="21"/>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pPr>
      <w:ind w:left="153" w:right="134"/>
      <w:jc w:val="center"/>
    </w:pPr>
  </w:style>
  <w:style w:type="character" w:customStyle="1" w:styleId="15">
    <w:name w:val="页眉 字符"/>
    <w:basedOn w:val="10"/>
    <w:link w:val="7"/>
    <w:qFormat/>
    <w:uiPriority w:val="99"/>
    <w:rPr>
      <w:rFonts w:ascii="仿宋_GB2312" w:hAnsi="仿宋_GB2312" w:eastAsia="仿宋_GB2312" w:cs="仿宋_GB2312"/>
      <w:sz w:val="18"/>
      <w:szCs w:val="18"/>
    </w:rPr>
  </w:style>
  <w:style w:type="character" w:customStyle="1" w:styleId="16">
    <w:name w:val="页脚 字符"/>
    <w:basedOn w:val="10"/>
    <w:link w:val="6"/>
    <w:qFormat/>
    <w:uiPriority w:val="99"/>
    <w:rPr>
      <w:rFonts w:ascii="仿宋_GB2312" w:hAnsi="仿宋_GB2312" w:eastAsia="仿宋_GB2312" w:cs="仿宋_GB2312"/>
      <w:sz w:val="18"/>
      <w:szCs w:val="18"/>
    </w:rPr>
  </w:style>
  <w:style w:type="character" w:customStyle="1" w:styleId="17">
    <w:name w:val="批注框文本 字符"/>
    <w:basedOn w:val="10"/>
    <w:link w:val="5"/>
    <w:semiHidden/>
    <w:qFormat/>
    <w:uiPriority w:val="99"/>
    <w:rPr>
      <w:rFonts w:ascii="仿宋_GB2312" w:hAnsi="仿宋_GB2312" w:eastAsia="仿宋_GB2312" w:cs="仿宋_GB2312"/>
      <w:sz w:val="18"/>
      <w:szCs w:val="18"/>
    </w:rPr>
  </w:style>
  <w:style w:type="character" w:customStyle="1" w:styleId="18">
    <w:name w:val="批注文字 字符"/>
    <w:basedOn w:val="10"/>
    <w:link w:val="3"/>
    <w:semiHidden/>
    <w:qFormat/>
    <w:uiPriority w:val="99"/>
    <w:rPr>
      <w:rFonts w:ascii="仿宋_GB2312" w:hAnsi="仿宋_GB2312" w:eastAsia="仿宋_GB2312" w:cs="仿宋_GB2312"/>
    </w:rPr>
  </w:style>
  <w:style w:type="character" w:customStyle="1" w:styleId="19">
    <w:name w:val="批注主题 字符"/>
    <w:basedOn w:val="18"/>
    <w:link w:val="8"/>
    <w:semiHidden/>
    <w:qFormat/>
    <w:uiPriority w:val="99"/>
    <w:rPr>
      <w:rFonts w:ascii="仿宋_GB2312" w:hAnsi="仿宋_GB2312" w:eastAsia="仿宋_GB2312" w:cs="仿宋_GB2312"/>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2295</Words>
  <Characters>2462</Characters>
  <Lines>17</Lines>
  <Paragraphs>5</Paragraphs>
  <TotalTime>0</TotalTime>
  <ScaleCrop>false</ScaleCrop>
  <LinksUpToDate>false</LinksUpToDate>
  <CharactersWithSpaces>2465</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2021-08-12T11:26:00Z</dcterms:created>
  <dc:creator>丶   Jino</dc:creator>
  <cp:lastModifiedBy>彭建全</cp:lastModifiedBy>
  <dcterms:modified xsi:type="dcterms:W3CDTF">2024-09-10T07:57:12Z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2021-08-09T00:00:00Z</vt:filetime>
  </property>
  <property fmtid="{D5CDD505-2E9C-101B-9397-08002B2CF9AE}" pid="3" name="Creator">
    <vt:lpwstr>Microsoft® Word 2010</vt:lpwstr>
  </property>
  <property fmtid="{D5CDD505-2E9C-101B-9397-08002B2CF9AE}" pid="4" name="LastSaved">
    <vt:filetime>2021-08-12T00:00:00Z</vt:filetime>
  </property>
  <property fmtid="{D5CDD505-2E9C-101B-9397-08002B2CF9AE}" pid="5" name="KSOProductBuildVer">
    <vt:lpwstr>2052-12.1.0.17857</vt:lpwstr>
  </property>
  <property fmtid="{D5CDD505-2E9C-101B-9397-08002B2CF9AE}" pid="6" name="ICV">
    <vt:lpwstr>7A19067333E2419E990F8C574ECD444A_12</vt:lpwstr>
  </property>
</Properties>
</file>