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line="480" w:lineRule="atLeast"/>
        <w:jc w:val="center"/>
        <w:rPr>
          <w:rFonts w:ascii="黑体" w:hAnsi="黑体" w:eastAsia="黑体"/>
          <w:b/>
          <w:bCs/>
          <w:sz w:val="36"/>
          <w:szCs w:val="36"/>
        </w:rPr>
      </w:pPr>
    </w:p>
    <w:p>
      <w:pPr>
        <w:adjustRightInd w:val="0"/>
        <w:snapToGrid w:val="0"/>
        <w:spacing w:before="120" w:line="480" w:lineRule="atLeast"/>
        <w:jc w:val="center"/>
        <w:rPr>
          <w:rFonts w:ascii="黑体" w:hAnsi="黑体" w:eastAsia="黑体"/>
          <w:b/>
          <w:bCs/>
          <w:sz w:val="36"/>
          <w:szCs w:val="36"/>
        </w:rPr>
      </w:pPr>
    </w:p>
    <w:p>
      <w:pPr>
        <w:adjustRightInd w:val="0"/>
        <w:snapToGrid w:val="0"/>
        <w:spacing w:before="120" w:line="480" w:lineRule="atLeast"/>
        <w:jc w:val="center"/>
        <w:rPr>
          <w:rFonts w:ascii="黑体" w:hAnsi="黑体" w:eastAsia="黑体"/>
          <w:b/>
          <w:bCs/>
          <w:sz w:val="36"/>
          <w:szCs w:val="36"/>
        </w:rPr>
      </w:pPr>
    </w:p>
    <w:p>
      <w:pPr>
        <w:adjustRightInd w:val="0"/>
        <w:snapToGrid w:val="0"/>
        <w:spacing w:before="120" w:line="480" w:lineRule="atLeast"/>
        <w:jc w:val="center"/>
        <w:rPr>
          <w:rFonts w:ascii="华文中宋" w:hAnsi="华文中宋" w:eastAsia="华文中宋"/>
          <w:b/>
          <w:bCs/>
          <w:sz w:val="48"/>
          <w:szCs w:val="48"/>
        </w:rPr>
      </w:pPr>
      <w:r>
        <w:rPr>
          <w:rFonts w:hint="eastAsia" w:ascii="华文中宋" w:hAnsi="华文中宋" w:eastAsia="华文中宋"/>
          <w:b/>
          <w:bCs/>
          <w:sz w:val="48"/>
          <w:szCs w:val="48"/>
        </w:rPr>
        <w:t>开平市侨务强市“十四五”规划</w:t>
      </w:r>
    </w:p>
    <w:p>
      <w:pPr>
        <w:adjustRightInd w:val="0"/>
        <w:snapToGrid w:val="0"/>
        <w:spacing w:before="120" w:line="480" w:lineRule="atLeast"/>
        <w:jc w:val="center"/>
        <w:rPr>
          <w:rFonts w:ascii="华文中宋" w:hAnsi="华文中宋" w:eastAsia="华文中宋"/>
          <w:b/>
          <w:bCs/>
          <w:sz w:val="48"/>
          <w:szCs w:val="48"/>
        </w:rPr>
      </w:pPr>
      <w:r>
        <w:rPr>
          <w:rFonts w:hint="eastAsia" w:ascii="华文中宋" w:hAnsi="华文中宋" w:eastAsia="华文中宋"/>
          <w:b/>
          <w:bCs/>
          <w:sz w:val="48"/>
          <w:szCs w:val="48"/>
        </w:rPr>
        <w:t>（送审</w:t>
      </w:r>
      <w:r>
        <w:rPr>
          <w:rFonts w:ascii="华文中宋" w:hAnsi="华文中宋" w:eastAsia="华文中宋"/>
          <w:b/>
          <w:bCs/>
          <w:sz w:val="48"/>
          <w:szCs w:val="48"/>
        </w:rPr>
        <w:t>稿）</w:t>
      </w:r>
    </w:p>
    <w:p>
      <w:pPr>
        <w:adjustRightInd w:val="0"/>
        <w:snapToGrid w:val="0"/>
        <w:spacing w:before="120" w:line="480" w:lineRule="atLeast"/>
        <w:ind w:firstLine="960" w:firstLineChars="200"/>
        <w:rPr>
          <w:rFonts w:ascii="华文中宋" w:hAnsi="华文中宋" w:eastAsia="华文中宋"/>
          <w:sz w:val="48"/>
          <w:szCs w:val="48"/>
        </w:rPr>
      </w:pPr>
    </w:p>
    <w:p>
      <w:pPr>
        <w:adjustRightInd w:val="0"/>
        <w:snapToGrid w:val="0"/>
        <w:spacing w:before="120" w:line="480" w:lineRule="atLeast"/>
        <w:ind w:firstLine="560" w:firstLineChars="200"/>
        <w:rPr>
          <w:rFonts w:ascii="仿宋" w:hAnsi="仿宋" w:eastAsia="仿宋"/>
          <w:sz w:val="28"/>
          <w:szCs w:val="28"/>
        </w:rPr>
      </w:pPr>
    </w:p>
    <w:p>
      <w:pPr>
        <w:adjustRightInd w:val="0"/>
        <w:snapToGrid w:val="0"/>
        <w:spacing w:before="120" w:line="480" w:lineRule="atLeast"/>
        <w:ind w:firstLine="560" w:firstLineChars="200"/>
        <w:rPr>
          <w:rFonts w:ascii="仿宋" w:hAnsi="仿宋" w:eastAsia="仿宋"/>
          <w:sz w:val="28"/>
          <w:szCs w:val="28"/>
        </w:rPr>
      </w:pPr>
    </w:p>
    <w:p>
      <w:pPr>
        <w:adjustRightInd w:val="0"/>
        <w:snapToGrid w:val="0"/>
        <w:spacing w:before="120" w:line="480" w:lineRule="atLeast"/>
        <w:ind w:firstLine="560" w:firstLineChars="200"/>
        <w:rPr>
          <w:rFonts w:ascii="仿宋" w:hAnsi="仿宋" w:eastAsia="仿宋"/>
          <w:sz w:val="28"/>
          <w:szCs w:val="28"/>
        </w:rPr>
      </w:pPr>
    </w:p>
    <w:p>
      <w:pPr>
        <w:adjustRightInd w:val="0"/>
        <w:snapToGrid w:val="0"/>
        <w:spacing w:before="120" w:line="480" w:lineRule="atLeast"/>
        <w:ind w:firstLine="560" w:firstLineChars="200"/>
        <w:rPr>
          <w:rFonts w:ascii="仿宋" w:hAnsi="仿宋" w:eastAsia="仿宋"/>
          <w:sz w:val="28"/>
          <w:szCs w:val="28"/>
        </w:rPr>
      </w:pPr>
    </w:p>
    <w:p>
      <w:pPr>
        <w:adjustRightInd w:val="0"/>
        <w:snapToGrid w:val="0"/>
        <w:spacing w:before="120" w:line="480" w:lineRule="atLeast"/>
        <w:ind w:firstLine="560" w:firstLineChars="200"/>
        <w:rPr>
          <w:rFonts w:ascii="仿宋" w:hAnsi="仿宋" w:eastAsia="仿宋"/>
          <w:sz w:val="28"/>
          <w:szCs w:val="28"/>
        </w:rPr>
      </w:pPr>
    </w:p>
    <w:p>
      <w:pPr>
        <w:adjustRightInd w:val="0"/>
        <w:snapToGrid w:val="0"/>
        <w:spacing w:before="120" w:line="480" w:lineRule="atLeast"/>
        <w:ind w:firstLine="560" w:firstLineChars="200"/>
        <w:rPr>
          <w:rFonts w:ascii="仿宋" w:hAnsi="仿宋" w:eastAsia="仿宋"/>
          <w:sz w:val="28"/>
          <w:szCs w:val="28"/>
        </w:rPr>
      </w:pPr>
    </w:p>
    <w:p>
      <w:pPr>
        <w:adjustRightInd w:val="0"/>
        <w:snapToGrid w:val="0"/>
        <w:spacing w:before="120" w:line="480" w:lineRule="atLeast"/>
        <w:ind w:firstLine="560" w:firstLineChars="200"/>
        <w:rPr>
          <w:rFonts w:ascii="仿宋" w:hAnsi="仿宋" w:eastAsia="仿宋"/>
          <w:sz w:val="28"/>
          <w:szCs w:val="28"/>
        </w:rPr>
      </w:pPr>
    </w:p>
    <w:p>
      <w:pPr>
        <w:adjustRightInd w:val="0"/>
        <w:snapToGrid w:val="0"/>
        <w:spacing w:before="120" w:line="480" w:lineRule="atLeast"/>
        <w:ind w:firstLine="560" w:firstLineChars="200"/>
        <w:rPr>
          <w:rFonts w:ascii="仿宋" w:hAnsi="仿宋" w:eastAsia="仿宋"/>
          <w:sz w:val="28"/>
          <w:szCs w:val="28"/>
        </w:rPr>
      </w:pPr>
    </w:p>
    <w:p>
      <w:pPr>
        <w:adjustRightInd w:val="0"/>
        <w:snapToGrid w:val="0"/>
        <w:spacing w:before="120" w:line="480" w:lineRule="atLeast"/>
        <w:ind w:firstLine="560" w:firstLineChars="200"/>
        <w:rPr>
          <w:rFonts w:ascii="仿宋" w:hAnsi="仿宋" w:eastAsia="仿宋"/>
          <w:sz w:val="28"/>
          <w:szCs w:val="28"/>
        </w:rPr>
      </w:pPr>
    </w:p>
    <w:p>
      <w:pPr>
        <w:adjustRightInd w:val="0"/>
        <w:snapToGrid w:val="0"/>
        <w:spacing w:before="120" w:line="480" w:lineRule="atLeast"/>
        <w:ind w:firstLine="640" w:firstLineChars="200"/>
        <w:rPr>
          <w:rFonts w:ascii="仿宋" w:hAnsi="仿宋" w:eastAsia="仿宋"/>
          <w:sz w:val="32"/>
          <w:szCs w:val="32"/>
        </w:rPr>
      </w:pPr>
    </w:p>
    <w:p>
      <w:pPr>
        <w:adjustRightInd w:val="0"/>
        <w:snapToGrid w:val="0"/>
        <w:spacing w:before="120" w:line="480" w:lineRule="atLeast"/>
        <w:ind w:firstLine="640" w:firstLineChars="200"/>
        <w:jc w:val="center"/>
        <w:rPr>
          <w:rFonts w:ascii="华文中宋" w:hAnsi="华文中宋" w:eastAsia="华文中宋"/>
          <w:b/>
          <w:sz w:val="32"/>
          <w:szCs w:val="32"/>
        </w:rPr>
      </w:pPr>
      <w:r>
        <w:rPr>
          <w:rFonts w:hint="eastAsia" w:ascii="华文中宋" w:hAnsi="华文中宋" w:eastAsia="华文中宋"/>
          <w:b/>
          <w:sz w:val="32"/>
          <w:szCs w:val="32"/>
        </w:rPr>
        <w:t>开平</w:t>
      </w:r>
      <w:r>
        <w:rPr>
          <w:rFonts w:ascii="华文中宋" w:hAnsi="华文中宋" w:eastAsia="华文中宋"/>
          <w:b/>
          <w:sz w:val="32"/>
          <w:szCs w:val="32"/>
        </w:rPr>
        <w:t>市委统战部</w:t>
      </w:r>
    </w:p>
    <w:p>
      <w:pPr>
        <w:adjustRightInd w:val="0"/>
        <w:snapToGrid w:val="0"/>
        <w:spacing w:before="120" w:line="480" w:lineRule="atLeast"/>
        <w:ind w:firstLine="640" w:firstLineChars="200"/>
        <w:jc w:val="center"/>
        <w:rPr>
          <w:rFonts w:ascii="华文中宋" w:hAnsi="华文中宋" w:eastAsia="华文中宋"/>
          <w:sz w:val="32"/>
          <w:szCs w:val="32"/>
        </w:rPr>
      </w:pPr>
      <w:r>
        <w:rPr>
          <w:rFonts w:hint="eastAsia" w:ascii="华文中宋" w:hAnsi="华文中宋" w:eastAsia="华文中宋"/>
          <w:b/>
          <w:sz w:val="32"/>
          <w:szCs w:val="32"/>
        </w:rPr>
        <w:t>江门</w:t>
      </w:r>
      <w:r>
        <w:rPr>
          <w:rFonts w:ascii="华文中宋" w:hAnsi="华文中宋" w:eastAsia="华文中宋"/>
          <w:b/>
          <w:sz w:val="32"/>
          <w:szCs w:val="32"/>
        </w:rPr>
        <w:t>职业技术学院</w:t>
      </w:r>
    </w:p>
    <w:p>
      <w:pPr>
        <w:adjustRightInd w:val="0"/>
        <w:snapToGrid w:val="0"/>
        <w:spacing w:before="120" w:line="480" w:lineRule="atLeast"/>
        <w:ind w:firstLine="640" w:firstLineChars="200"/>
        <w:jc w:val="center"/>
        <w:rPr>
          <w:rFonts w:ascii="华文中宋" w:hAnsi="华文中宋" w:eastAsia="华文中宋"/>
          <w:sz w:val="32"/>
          <w:szCs w:val="32"/>
        </w:rPr>
      </w:pPr>
      <w:r>
        <w:rPr>
          <w:rFonts w:hint="eastAsia" w:ascii="华文中宋" w:hAnsi="华文中宋" w:eastAsia="华文中宋"/>
          <w:sz w:val="32"/>
          <w:szCs w:val="32"/>
        </w:rPr>
        <w:t>二○二四年五</w:t>
      </w:r>
      <w:r>
        <w:rPr>
          <w:rFonts w:ascii="华文中宋" w:hAnsi="华文中宋" w:eastAsia="华文中宋"/>
          <w:sz w:val="32"/>
          <w:szCs w:val="32"/>
        </w:rPr>
        <w:t>月</w:t>
      </w:r>
    </w:p>
    <w:p>
      <w:pPr>
        <w:adjustRightInd w:val="0"/>
        <w:snapToGrid w:val="0"/>
        <w:spacing w:before="120" w:line="480" w:lineRule="atLeast"/>
        <w:ind w:firstLine="640" w:firstLineChars="200"/>
        <w:jc w:val="center"/>
        <w:rPr>
          <w:rFonts w:ascii="华文中宋" w:hAnsi="华文中宋" w:eastAsia="华文中宋"/>
          <w:sz w:val="32"/>
          <w:szCs w:val="32"/>
        </w:rPr>
      </w:pPr>
    </w:p>
    <w:p>
      <w:pPr>
        <w:pStyle w:val="5"/>
        <w:ind w:left="420"/>
      </w:pPr>
    </w:p>
    <w:p/>
    <w:sdt>
      <w:sdtPr>
        <w:rPr>
          <w:rFonts w:asciiTheme="minorHAnsi" w:hAnsiTheme="minorHAnsi" w:eastAsiaTheme="minorEastAsia" w:cstheme="minorBidi"/>
          <w:b w:val="0"/>
          <w:bCs w:val="0"/>
          <w:color w:val="auto"/>
          <w:kern w:val="2"/>
          <w:sz w:val="21"/>
          <w:szCs w:val="22"/>
          <w:lang w:val="zh-CN"/>
        </w:rPr>
        <w:id w:val="48034893"/>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37"/>
            <w:adjustRightInd w:val="0"/>
            <w:snapToGrid w:val="0"/>
            <w:spacing w:before="120" w:line="480" w:lineRule="atLeast"/>
            <w:jc w:val="center"/>
            <w:rPr>
              <w:color w:val="auto"/>
              <w:sz w:val="30"/>
              <w:szCs w:val="30"/>
            </w:rPr>
          </w:pPr>
          <w:r>
            <w:rPr>
              <w:rFonts w:hint="eastAsia"/>
              <w:color w:val="auto"/>
              <w:sz w:val="30"/>
              <w:szCs w:val="30"/>
              <w:lang w:val="zh-CN"/>
            </w:rPr>
            <w:t>目  录</w:t>
          </w:r>
        </w:p>
        <w:p>
          <w:pPr>
            <w:pStyle w:val="14"/>
            <w:tabs>
              <w:tab w:val="right" w:leader="dot" w:pos="8296"/>
            </w:tabs>
            <w:adjustRightInd w:val="0"/>
            <w:snapToGrid w:val="0"/>
            <w:spacing w:line="360" w:lineRule="auto"/>
          </w:pPr>
          <w:r>
            <w:fldChar w:fldCharType="begin"/>
          </w:r>
          <w:r>
            <w:instrText xml:space="preserve"> TOC \o "1-3" \h \z \u </w:instrText>
          </w:r>
          <w:r>
            <w:fldChar w:fldCharType="separate"/>
          </w:r>
          <w:r>
            <w:fldChar w:fldCharType="begin"/>
          </w:r>
          <w:r>
            <w:instrText xml:space="preserve"> HYPERLINK \l "_Toc166226786" </w:instrText>
          </w:r>
          <w:r>
            <w:fldChar w:fldCharType="separate"/>
          </w:r>
          <w:r>
            <w:rPr>
              <w:rStyle w:val="23"/>
              <w:rFonts w:ascii="黑体" w:hAnsi="黑体"/>
              <w:color w:val="auto"/>
            </w:rPr>
            <w:t>一、发展基础和面临形势</w:t>
          </w:r>
          <w:r>
            <w:tab/>
          </w:r>
          <w:r>
            <w:fldChar w:fldCharType="begin"/>
          </w:r>
          <w:r>
            <w:instrText xml:space="preserve"> PAGEREF _Toc166226786 \h </w:instrText>
          </w:r>
          <w:r>
            <w:fldChar w:fldCharType="separate"/>
          </w:r>
          <w:r>
            <w:t>3</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"_Toc166226787" </w:instrText>
          </w:r>
          <w:r>
            <w:fldChar w:fldCharType="separate"/>
          </w:r>
          <w:r>
            <w:rPr>
              <w:rStyle w:val="23"/>
              <w:rFonts w:ascii="方正楷体_GBK" w:hAnsi="仿宋" w:eastAsia="方正楷体_GBK"/>
              <w:color w:val="auto"/>
            </w:rPr>
            <w:t>（一）工作现状</w:t>
          </w:r>
          <w:r>
            <w:tab/>
          </w:r>
          <w:r>
            <w:fldChar w:fldCharType="begin"/>
          </w:r>
          <w:r>
            <w:instrText xml:space="preserve"> PAGEREF _Toc166226787 \h </w:instrText>
          </w:r>
          <w:r>
            <w:fldChar w:fldCharType="separate"/>
          </w:r>
          <w:r>
            <w:t>3</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"_Toc166226788" </w:instrText>
          </w:r>
          <w:r>
            <w:fldChar w:fldCharType="separate"/>
          </w:r>
          <w:r>
            <w:rPr>
              <w:rStyle w:val="23"/>
              <w:rFonts w:ascii="方正楷体_GBK" w:hAnsi="仿宋" w:eastAsia="方正楷体_GBK"/>
              <w:color w:val="auto"/>
            </w:rPr>
            <w:t>（二）面临形势</w:t>
          </w:r>
          <w:r>
            <w:tab/>
          </w:r>
          <w:r>
            <w:fldChar w:fldCharType="begin"/>
          </w:r>
          <w:r>
            <w:instrText xml:space="preserve"> PAGEREF _Toc166226788 \h </w:instrText>
          </w:r>
          <w:r>
            <w:fldChar w:fldCharType="separate"/>
          </w:r>
          <w:r>
            <w:t>7</w:t>
          </w:r>
          <w:r>
            <w:fldChar w:fldCharType="end"/>
          </w:r>
          <w:r>
            <w:fldChar w:fldCharType="end"/>
          </w:r>
        </w:p>
        <w:p>
          <w:pPr>
            <w:pStyle w:val="14"/>
            <w:tabs>
              <w:tab w:val="right" w:leader="dot" w:pos="8296"/>
            </w:tabs>
            <w:adjustRightInd w:val="0"/>
            <w:snapToGrid w:val="0"/>
            <w:spacing w:line="360" w:lineRule="auto"/>
          </w:pPr>
          <w:r>
            <w:fldChar w:fldCharType="begin"/>
          </w:r>
          <w:r>
            <w:instrText xml:space="preserve"> HYPERLINK \l "_Toc166226789" </w:instrText>
          </w:r>
          <w:r>
            <w:fldChar w:fldCharType="separate"/>
          </w:r>
          <w:r>
            <w:rPr>
              <w:rStyle w:val="23"/>
              <w:rFonts w:ascii="黑体" w:hAnsi="黑体"/>
              <w:color w:val="auto"/>
            </w:rPr>
            <w:t>二、指导思想与发展定位</w:t>
          </w:r>
          <w:r>
            <w:tab/>
          </w:r>
          <w:r>
            <w:fldChar w:fldCharType="begin"/>
          </w:r>
          <w:r>
            <w:instrText xml:space="preserve"> PAGEREF _Toc166226789 \h </w:instrText>
          </w:r>
          <w:r>
            <w:fldChar w:fldCharType="separate"/>
          </w:r>
          <w:r>
            <w:t>9</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"_Toc166226790" </w:instrText>
          </w:r>
          <w:r>
            <w:fldChar w:fldCharType="separate"/>
          </w:r>
          <w:r>
            <w:rPr>
              <w:rStyle w:val="23"/>
              <w:rFonts w:ascii="方正楷体_GBK" w:hAnsi="仿宋" w:eastAsia="方正楷体_GBK"/>
              <w:color w:val="auto"/>
            </w:rPr>
            <w:t>（一）指导思想</w:t>
          </w:r>
          <w:r>
            <w:tab/>
          </w:r>
          <w:r>
            <w:fldChar w:fldCharType="begin"/>
          </w:r>
          <w:r>
            <w:instrText xml:space="preserve"> PAGEREF _Toc166226790 \h </w:instrText>
          </w:r>
          <w:r>
            <w:fldChar w:fldCharType="separate"/>
          </w:r>
          <w:r>
            <w:t>9</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"_Toc166226791" </w:instrText>
          </w:r>
          <w:r>
            <w:fldChar w:fldCharType="separate"/>
          </w:r>
          <w:r>
            <w:rPr>
              <w:rStyle w:val="23"/>
              <w:rFonts w:ascii="方正楷体_GBK" w:hAnsi="仿宋" w:eastAsia="方正楷体_GBK"/>
              <w:color w:val="auto"/>
            </w:rPr>
            <w:t>（二）基本原则</w:t>
          </w:r>
          <w:r>
            <w:tab/>
          </w:r>
          <w:r>
            <w:fldChar w:fldCharType="begin"/>
          </w:r>
          <w:r>
            <w:instrText xml:space="preserve"> PAGEREF _Toc166226791 \h </w:instrText>
          </w:r>
          <w:r>
            <w:fldChar w:fldCharType="separate"/>
          </w:r>
          <w:r>
            <w:t>9</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"_Toc166226792" </w:instrText>
          </w:r>
          <w:r>
            <w:fldChar w:fldCharType="separate"/>
          </w:r>
          <w:r>
            <w:rPr>
              <w:rStyle w:val="23"/>
              <w:rFonts w:ascii="方正楷体_GBK" w:hAnsi="仿宋" w:eastAsia="方正楷体_GBK"/>
              <w:color w:val="auto"/>
            </w:rPr>
            <w:t>（三）发展目标</w:t>
          </w:r>
          <w:r>
            <w:tab/>
          </w:r>
          <w:r>
            <w:fldChar w:fldCharType="begin"/>
          </w:r>
          <w:r>
            <w:instrText xml:space="preserve"> PAGEREF _Toc166226792 \h </w:instrText>
          </w:r>
          <w:r>
            <w:fldChar w:fldCharType="separate"/>
          </w:r>
          <w:r>
            <w:t>11</w:t>
          </w:r>
          <w:r>
            <w:fldChar w:fldCharType="end"/>
          </w:r>
          <w:r>
            <w:fldChar w:fldCharType="end"/>
          </w:r>
        </w:p>
        <w:p>
          <w:pPr>
            <w:pStyle w:val="14"/>
            <w:tabs>
              <w:tab w:val="right" w:leader="dot" w:pos="8296"/>
            </w:tabs>
            <w:adjustRightInd w:val="0"/>
            <w:snapToGrid w:val="0"/>
            <w:spacing w:line="360" w:lineRule="auto"/>
          </w:pPr>
          <w:r>
            <w:fldChar w:fldCharType="begin"/>
          </w:r>
          <w:r>
            <w:instrText xml:space="preserve"> HYPERLINK \l "_Toc166226793" </w:instrText>
          </w:r>
          <w:r>
            <w:fldChar w:fldCharType="separate"/>
          </w:r>
          <w:r>
            <w:rPr>
              <w:rStyle w:val="23"/>
              <w:rFonts w:ascii="黑体" w:hAnsi="黑体"/>
              <w:color w:val="auto"/>
            </w:rPr>
            <w:t>三、整合利用文化资源，全力打造侨务工作新平台</w:t>
          </w:r>
          <w:r>
            <w:tab/>
          </w:r>
          <w:r>
            <w:fldChar w:fldCharType="begin"/>
          </w:r>
          <w:r>
            <w:instrText xml:space="preserve"> PAGEREF _Toc166226793 \h </w:instrText>
          </w:r>
          <w:r>
            <w:fldChar w:fldCharType="separate"/>
          </w:r>
          <w:r>
            <w:t>13</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"_Toc166226794" </w:instrText>
          </w:r>
          <w:r>
            <w:fldChar w:fldCharType="separate"/>
          </w:r>
          <w:r>
            <w:rPr>
              <w:rStyle w:val="23"/>
              <w:rFonts w:ascii="方正楷体_GBK" w:hAnsi="仿宋" w:eastAsia="方正楷体_GBK"/>
              <w:color w:val="auto"/>
            </w:rPr>
            <w:t>（一）打造文化交流合作新平台</w:t>
          </w:r>
          <w:r>
            <w:tab/>
          </w:r>
          <w:r>
            <w:fldChar w:fldCharType="begin"/>
          </w:r>
          <w:r>
            <w:instrText xml:space="preserve"> PAGEREF _Toc166226794 \h </w:instrText>
          </w:r>
          <w:r>
            <w:fldChar w:fldCharType="separate"/>
          </w:r>
          <w:r>
            <w:t>14</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"_Toc166226795" </w:instrText>
          </w:r>
          <w:r>
            <w:fldChar w:fldCharType="separate"/>
          </w:r>
          <w:r>
            <w:rPr>
              <w:rStyle w:val="23"/>
              <w:rFonts w:ascii="方正楷体_GBK" w:hAnsi="仿宋" w:eastAsia="方正楷体_GBK"/>
              <w:color w:val="auto"/>
            </w:rPr>
            <w:t>（二）建好侨乡文化生态保护区</w:t>
          </w:r>
          <w:r>
            <w:tab/>
          </w:r>
          <w:r>
            <w:fldChar w:fldCharType="begin"/>
          </w:r>
          <w:r>
            <w:instrText xml:space="preserve"> PAGEREF _Toc166226795 \h </w:instrText>
          </w:r>
          <w:r>
            <w:fldChar w:fldCharType="separate"/>
          </w:r>
          <w:r>
            <w:t>15</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"_Toc166226796" </w:instrText>
          </w:r>
          <w:r>
            <w:fldChar w:fldCharType="separate"/>
          </w:r>
          <w:r>
            <w:rPr>
              <w:rStyle w:val="23"/>
              <w:rFonts w:ascii="方正楷体_GBK" w:hAnsi="仿宋" w:eastAsia="方正楷体_GBK"/>
              <w:color w:val="auto"/>
            </w:rPr>
            <w:t>（三）做强开平华侨文化新品牌</w:t>
          </w:r>
          <w:r>
            <w:tab/>
          </w:r>
          <w:r>
            <w:fldChar w:fldCharType="begin"/>
          </w:r>
          <w:r>
            <w:instrText xml:space="preserve"> PAGEREF _Toc166226796 \h </w:instrText>
          </w:r>
          <w:r>
            <w:fldChar w:fldCharType="separate"/>
          </w:r>
          <w:r>
            <w:t>16</w:t>
          </w:r>
          <w:r>
            <w:fldChar w:fldCharType="end"/>
          </w:r>
          <w:r>
            <w:fldChar w:fldCharType="end"/>
          </w:r>
        </w:p>
        <w:p>
          <w:pPr>
            <w:pStyle w:val="14"/>
            <w:tabs>
              <w:tab w:val="right" w:leader="dot" w:pos="8296"/>
            </w:tabs>
            <w:adjustRightInd w:val="0"/>
            <w:snapToGrid w:val="0"/>
            <w:spacing w:line="360" w:lineRule="auto"/>
          </w:pPr>
          <w:r>
            <w:fldChar w:fldCharType="begin"/>
          </w:r>
          <w:r>
            <w:instrText xml:space="preserve"> HYPERLINK \l "_Toc166226797" </w:instrText>
          </w:r>
          <w:r>
            <w:fldChar w:fldCharType="separate"/>
          </w:r>
          <w:r>
            <w:rPr>
              <w:rStyle w:val="23"/>
              <w:rFonts w:ascii="黑体" w:hAnsi="黑体"/>
              <w:color w:val="auto"/>
            </w:rPr>
            <w:t>四、推动侨资源转化为侨动力，打造高水平开放新高地</w:t>
          </w:r>
          <w:r>
            <w:tab/>
          </w:r>
          <w:r>
            <w:fldChar w:fldCharType="begin"/>
          </w:r>
          <w:r>
            <w:instrText xml:space="preserve"> PAGEREF _Toc166226797 \h </w:instrText>
          </w:r>
          <w:r>
            <w:fldChar w:fldCharType="separate"/>
          </w:r>
          <w:r>
            <w:t>17</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"_Toc166226798" </w:instrText>
          </w:r>
          <w:r>
            <w:fldChar w:fldCharType="separate"/>
          </w:r>
          <w:r>
            <w:rPr>
              <w:rStyle w:val="23"/>
              <w:rFonts w:ascii="方正楷体_GBK" w:hAnsi="仿宋" w:eastAsia="方正楷体_GBK"/>
              <w:color w:val="auto"/>
            </w:rPr>
            <w:t>（一）建设高水平华侨华人创新创业平台</w:t>
          </w:r>
          <w:r>
            <w:tab/>
          </w:r>
          <w:r>
            <w:fldChar w:fldCharType="begin"/>
          </w:r>
          <w:r>
            <w:instrText xml:space="preserve"> PAGEREF _Toc166226798 \h </w:instrText>
          </w:r>
          <w:r>
            <w:fldChar w:fldCharType="separate"/>
          </w:r>
          <w:r>
            <w:t>17</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"_Toc166226799" </w:instrText>
          </w:r>
          <w:r>
            <w:fldChar w:fldCharType="separate"/>
          </w:r>
          <w:r>
            <w:rPr>
              <w:rStyle w:val="23"/>
              <w:rFonts w:ascii="方正楷体_GBK" w:hAnsi="仿宋" w:eastAsia="方正楷体_GBK"/>
              <w:color w:val="auto"/>
            </w:rPr>
            <w:t>（二）打造粤港澳大湾区世界级旅游目的地</w:t>
          </w:r>
          <w:r>
            <w:tab/>
          </w:r>
          <w:r>
            <w:fldChar w:fldCharType="begin"/>
          </w:r>
          <w:r>
            <w:instrText xml:space="preserve"> PAGEREF _Toc166226799 \h </w:instrText>
          </w:r>
          <w:r>
            <w:fldChar w:fldCharType="separate"/>
          </w:r>
          <w:r>
            <w:t>18</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"_Toc166226800" </w:instrText>
          </w:r>
          <w:r>
            <w:fldChar w:fldCharType="separate"/>
          </w:r>
          <w:r>
            <w:rPr>
              <w:rStyle w:val="23"/>
              <w:rFonts w:ascii="方正楷体_GBK" w:hAnsi="仿宋" w:eastAsia="方正楷体_GBK"/>
              <w:color w:val="auto"/>
            </w:rPr>
            <w:t>（三）打造最优侨商侨资回归投资环境</w:t>
          </w:r>
          <w:r>
            <w:tab/>
          </w:r>
          <w:r>
            <w:fldChar w:fldCharType="begin"/>
          </w:r>
          <w:r>
            <w:instrText xml:space="preserve"> PAGEREF _Toc166226800 \h </w:instrText>
          </w:r>
          <w:r>
            <w:fldChar w:fldCharType="separate"/>
          </w:r>
          <w:r>
            <w:t>19</w:t>
          </w:r>
          <w:r>
            <w:fldChar w:fldCharType="end"/>
          </w:r>
          <w:r>
            <w:fldChar w:fldCharType="end"/>
          </w:r>
        </w:p>
        <w:p>
          <w:pPr>
            <w:pStyle w:val="14"/>
            <w:tabs>
              <w:tab w:val="right" w:leader="dot" w:pos="8296"/>
            </w:tabs>
            <w:adjustRightInd w:val="0"/>
            <w:snapToGrid w:val="0"/>
            <w:spacing w:line="360" w:lineRule="auto"/>
          </w:pPr>
          <w:r>
            <w:fldChar w:fldCharType="begin"/>
          </w:r>
          <w:r>
            <w:instrText xml:space="preserve"> HYPERLINK \l "_Toc166226801" </w:instrText>
          </w:r>
          <w:r>
            <w:fldChar w:fldCharType="separate"/>
          </w:r>
          <w:r>
            <w:rPr>
              <w:rStyle w:val="23"/>
              <w:rFonts w:ascii="黑体" w:hAnsi="黑体"/>
              <w:color w:val="auto"/>
            </w:rPr>
            <w:t>五、护侨引才双管齐下，推动固根筑梦新发展</w:t>
          </w:r>
          <w:r>
            <w:tab/>
          </w:r>
          <w:r>
            <w:fldChar w:fldCharType="begin"/>
          </w:r>
          <w:r>
            <w:instrText xml:space="preserve"> PAGEREF _Toc166226801 \h </w:instrText>
          </w:r>
          <w:r>
            <w:fldChar w:fldCharType="separate"/>
          </w:r>
          <w:r>
            <w:t>21</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"_Toc166226802" </w:instrText>
          </w:r>
          <w:r>
            <w:fldChar w:fldCharType="separate"/>
          </w:r>
          <w:r>
            <w:rPr>
              <w:rStyle w:val="23"/>
              <w:rFonts w:ascii="方正楷体_GBK" w:hAnsi="仿宋" w:eastAsia="方正楷体_GBK"/>
              <w:color w:val="auto"/>
            </w:rPr>
            <w:t>（一）加</w:t>
          </w:r>
          <w:r>
            <w:rPr>
              <w:rStyle w:val="23"/>
              <w:rFonts w:hint="eastAsia" w:ascii="方正楷体_GBK" w:hAnsi="仿宋" w:eastAsia="方正楷体_GBK"/>
              <w:color w:val="auto"/>
              <w:lang w:eastAsia="zh-CN"/>
            </w:rPr>
            <w:t>大</w:t>
          </w:r>
          <w:r>
            <w:rPr>
              <w:rStyle w:val="23"/>
              <w:rFonts w:ascii="方正楷体_GBK" w:hAnsi="仿宋" w:eastAsia="方正楷体_GBK"/>
              <w:color w:val="auto"/>
            </w:rPr>
            <w:t>华侨权益保护力度</w:t>
          </w:r>
          <w:r>
            <w:tab/>
          </w:r>
          <w:r>
            <w:fldChar w:fldCharType="begin"/>
          </w:r>
          <w:r>
            <w:instrText xml:space="preserve"> PAGEREF _Toc166226802 \h </w:instrText>
          </w:r>
          <w:r>
            <w:fldChar w:fldCharType="separate"/>
          </w:r>
          <w:r>
            <w:t>22</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"_Toc166226803" </w:instrText>
          </w:r>
          <w:r>
            <w:fldChar w:fldCharType="separate"/>
          </w:r>
          <w:r>
            <w:rPr>
              <w:rStyle w:val="23"/>
              <w:rFonts w:ascii="方正楷体_GBK" w:hAnsi="仿宋" w:eastAsia="方正楷体_GBK"/>
              <w:color w:val="auto"/>
            </w:rPr>
            <w:t>（二）完善涉侨服务体系建设</w:t>
          </w:r>
          <w:r>
            <w:tab/>
          </w:r>
          <w:r>
            <w:fldChar w:fldCharType="begin"/>
          </w:r>
          <w:r>
            <w:instrText xml:space="preserve"> PAGEREF _Toc166226803 \h </w:instrText>
          </w:r>
          <w:r>
            <w:fldChar w:fldCharType="separate"/>
          </w:r>
          <w:r>
            <w:t>22</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"_Toc166226804" </w:instrText>
          </w:r>
          <w:r>
            <w:fldChar w:fldCharType="separate"/>
          </w:r>
          <w:r>
            <w:rPr>
              <w:rStyle w:val="23"/>
              <w:rFonts w:ascii="方正楷体_GBK" w:hAnsi="仿宋" w:eastAsia="方正楷体_GBK"/>
              <w:color w:val="auto"/>
            </w:rPr>
            <w:t>（三）加快优秀双创人才引进</w:t>
          </w:r>
          <w:r>
            <w:tab/>
          </w:r>
          <w:r>
            <w:fldChar w:fldCharType="begin"/>
          </w:r>
          <w:r>
            <w:instrText xml:space="preserve"> PAGEREF _Toc166226804 \h </w:instrText>
          </w:r>
          <w:r>
            <w:fldChar w:fldCharType="separate"/>
          </w:r>
          <w:r>
            <w:t>24</w:t>
          </w:r>
          <w:r>
            <w:fldChar w:fldCharType="end"/>
          </w:r>
          <w:r>
            <w:fldChar w:fldCharType="end"/>
          </w:r>
        </w:p>
        <w:p>
          <w:pPr>
            <w:pStyle w:val="14"/>
            <w:tabs>
              <w:tab w:val="right" w:leader="dot" w:pos="8296"/>
            </w:tabs>
            <w:adjustRightInd w:val="0"/>
            <w:snapToGrid w:val="0"/>
            <w:spacing w:line="360" w:lineRule="auto"/>
          </w:pPr>
          <w:r>
            <w:fldChar w:fldCharType="begin"/>
          </w:r>
          <w:r>
            <w:instrText xml:space="preserve"> HYPERLINK \l "_Toc166226805" </w:instrText>
          </w:r>
          <w:r>
            <w:fldChar w:fldCharType="separate"/>
          </w:r>
          <w:r>
            <w:rPr>
              <w:rStyle w:val="23"/>
              <w:rFonts w:ascii="黑体" w:hAnsi="黑体"/>
              <w:color w:val="auto"/>
            </w:rPr>
            <w:t>六、整合各类传播资源，拓展城市品牌影响力</w:t>
          </w:r>
          <w:r>
            <w:tab/>
          </w:r>
          <w:r>
            <w:fldChar w:fldCharType="begin"/>
          </w:r>
          <w:r>
            <w:instrText xml:space="preserve"> PAGEREF _Toc166226805 \h </w:instrText>
          </w:r>
          <w:r>
            <w:fldChar w:fldCharType="separate"/>
          </w:r>
          <w:r>
            <w:t>24</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"_Toc166226806" </w:instrText>
          </w:r>
          <w:r>
            <w:fldChar w:fldCharType="separate"/>
          </w:r>
          <w:r>
            <w:rPr>
              <w:rStyle w:val="23"/>
              <w:rFonts w:ascii="方正楷体_GBK" w:hAnsi="仿宋" w:eastAsia="方正楷体_GBK" w:cs="Times New Roman"/>
              <w:bCs/>
              <w:color w:val="auto"/>
            </w:rPr>
            <w:t>（一）加强品牌传播机制优化</w:t>
          </w:r>
          <w:r>
            <w:tab/>
          </w:r>
          <w:r>
            <w:fldChar w:fldCharType="begin"/>
          </w:r>
          <w:r>
            <w:instrText xml:space="preserve"> PAGEREF _Toc166226806 \h </w:instrText>
          </w:r>
          <w:r>
            <w:fldChar w:fldCharType="separate"/>
          </w:r>
          <w:r>
            <w:t>25</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"_Toc166226807" </w:instrText>
          </w:r>
          <w:r>
            <w:fldChar w:fldCharType="separate"/>
          </w:r>
          <w:r>
            <w:rPr>
              <w:rStyle w:val="23"/>
              <w:rFonts w:ascii="方正楷体_GBK" w:hAnsi="仿宋" w:eastAsia="方正楷体_GBK" w:cs="Times New Roman"/>
              <w:bCs/>
              <w:color w:val="auto"/>
            </w:rPr>
            <w:t>（二）加强品牌传播平台建设</w:t>
          </w:r>
          <w:r>
            <w:tab/>
          </w:r>
          <w:r>
            <w:fldChar w:fldCharType="begin"/>
          </w:r>
          <w:r>
            <w:instrText xml:space="preserve"> PAGEREF _Toc166226807 \h </w:instrText>
          </w:r>
          <w:r>
            <w:fldChar w:fldCharType="separate"/>
          </w:r>
          <w:r>
            <w:t>25</w:t>
          </w:r>
          <w:r>
            <w:fldChar w:fldCharType="end"/>
          </w:r>
          <w:r>
            <w:fldChar w:fldCharType="end"/>
          </w:r>
        </w:p>
        <w:p>
          <w:pPr>
            <w:pStyle w:val="15"/>
            <w:tabs>
              <w:tab w:val="right" w:leader="dot" w:pos="8296"/>
            </w:tabs>
            <w:adjustRightInd w:val="0"/>
            <w:snapToGrid w:val="0"/>
            <w:spacing w:line="360" w:lineRule="auto"/>
          </w:pPr>
          <w:r>
            <w:fldChar w:fldCharType="begin"/>
          </w:r>
          <w:r>
            <w:instrText xml:space="preserve"> HYPERLINK \l "_Toc166226808" </w:instrText>
          </w:r>
          <w:r>
            <w:fldChar w:fldCharType="separate"/>
          </w:r>
          <w:r>
            <w:rPr>
              <w:rStyle w:val="23"/>
              <w:rFonts w:ascii="方正楷体_GBK" w:hAnsi="仿宋" w:eastAsia="方正楷体_GBK" w:cs="Times New Roman"/>
              <w:bCs/>
              <w:color w:val="auto"/>
            </w:rPr>
            <w:t>（三）加强品牌传播活动策划</w:t>
          </w:r>
          <w:r>
            <w:tab/>
          </w:r>
          <w:r>
            <w:fldChar w:fldCharType="begin"/>
          </w:r>
          <w:r>
            <w:instrText xml:space="preserve"> PAGEREF _Toc166226808 \h </w:instrText>
          </w:r>
          <w:r>
            <w:fldChar w:fldCharType="separate"/>
          </w:r>
          <w:r>
            <w:t>26</w:t>
          </w:r>
          <w:r>
            <w:fldChar w:fldCharType="end"/>
          </w:r>
          <w:r>
            <w:fldChar w:fldCharType="end"/>
          </w:r>
        </w:p>
        <w:p>
          <w:pPr>
            <w:pStyle w:val="14"/>
            <w:tabs>
              <w:tab w:val="right" w:leader="dot" w:pos="8296"/>
            </w:tabs>
            <w:adjustRightInd w:val="0"/>
            <w:snapToGrid w:val="0"/>
            <w:spacing w:line="360" w:lineRule="auto"/>
            <w:rPr>
              <w:rFonts w:hint="eastAsia" w:eastAsiaTheme="minorEastAsia"/>
              <w:lang w:val="en-US" w:eastAsia="zh-CN"/>
            </w:rPr>
          </w:pPr>
          <w:r>
            <w:fldChar w:fldCharType="begin"/>
          </w:r>
          <w:r>
            <w:instrText xml:space="preserve"> HYPERLINK \l "_Toc166226809" </w:instrText>
          </w:r>
          <w:r>
            <w:fldChar w:fldCharType="separate"/>
          </w:r>
          <w:r>
            <w:rPr>
              <w:rStyle w:val="23"/>
              <w:rFonts w:ascii="黑体" w:hAnsi="黑体"/>
              <w:color w:val="auto"/>
            </w:rPr>
            <w:t>七、实施机制和保障措施</w:t>
          </w:r>
          <w:r>
            <w:tab/>
          </w:r>
          <w:r>
            <w:rPr>
              <w:rFonts w:hint="eastAsia"/>
              <w:lang w:val="en-US" w:eastAsia="zh-CN"/>
            </w:rPr>
            <w:t>2</w:t>
          </w:r>
          <w:r>
            <w:fldChar w:fldCharType="end"/>
          </w:r>
          <w:r>
            <w:rPr>
              <w:rFonts w:hint="eastAsia"/>
              <w:lang w:val="en-US" w:eastAsia="zh-CN"/>
            </w:rPr>
            <w:t>7</w:t>
          </w:r>
        </w:p>
        <w:p>
          <w:pPr>
            <w:pStyle w:val="15"/>
            <w:tabs>
              <w:tab w:val="right" w:leader="dot" w:pos="8296"/>
            </w:tabs>
            <w:adjustRightInd w:val="0"/>
            <w:snapToGrid w:val="0"/>
            <w:spacing w:line="360" w:lineRule="auto"/>
            <w:rPr>
              <w:rFonts w:hint="eastAsia" w:eastAsiaTheme="minorEastAsia"/>
              <w:lang w:val="en-US" w:eastAsia="zh-CN"/>
            </w:rPr>
          </w:pPr>
          <w:r>
            <w:fldChar w:fldCharType="begin"/>
          </w:r>
          <w:r>
            <w:instrText xml:space="preserve"> HYPERLINK \l "_Toc166226810" </w:instrText>
          </w:r>
          <w:r>
            <w:fldChar w:fldCharType="separate"/>
          </w:r>
          <w:r>
            <w:rPr>
              <w:rStyle w:val="23"/>
              <w:rFonts w:ascii="方正楷体_GBK" w:hAnsi="仿宋" w:eastAsia="方正楷体_GBK"/>
              <w:color w:val="auto"/>
            </w:rPr>
            <w:t>（一）强化组织领导</w:t>
          </w:r>
          <w:r>
            <w:tab/>
          </w:r>
          <w:r>
            <w:rPr>
              <w:rFonts w:hint="eastAsia"/>
              <w:lang w:val="en-US" w:eastAsia="zh-CN"/>
            </w:rPr>
            <w:t>2</w:t>
          </w:r>
          <w:r>
            <w:fldChar w:fldCharType="end"/>
          </w:r>
          <w:r>
            <w:rPr>
              <w:rFonts w:hint="eastAsia"/>
              <w:lang w:val="en-US" w:eastAsia="zh-CN"/>
            </w:rPr>
            <w:t>7</w:t>
          </w:r>
        </w:p>
        <w:p>
          <w:pPr>
            <w:pStyle w:val="15"/>
            <w:tabs>
              <w:tab w:val="right" w:leader="dot" w:pos="8296"/>
            </w:tabs>
            <w:adjustRightInd w:val="0"/>
            <w:snapToGrid w:val="0"/>
            <w:spacing w:line="360" w:lineRule="auto"/>
          </w:pPr>
          <w:r>
            <w:fldChar w:fldCharType="begin"/>
          </w:r>
          <w:r>
            <w:instrText xml:space="preserve"> HYPERLINK \l "_Toc166226811" </w:instrText>
          </w:r>
          <w:r>
            <w:fldChar w:fldCharType="separate"/>
          </w:r>
          <w:r>
            <w:rPr>
              <w:rStyle w:val="23"/>
              <w:rFonts w:ascii="方正楷体_GBK" w:eastAsia="方正楷体_GBK"/>
              <w:color w:val="auto"/>
            </w:rPr>
            <w:t>（二）健全实施机制</w:t>
          </w:r>
          <w:r>
            <w:tab/>
          </w:r>
          <w:r>
            <w:fldChar w:fldCharType="begin"/>
          </w:r>
          <w:r>
            <w:instrText xml:space="preserve"> PAGEREF _Toc166226811 \h </w:instrText>
          </w:r>
          <w:r>
            <w:fldChar w:fldCharType="separate"/>
          </w:r>
          <w:r>
            <w:t>28</w:t>
          </w:r>
          <w:r>
            <w:fldChar w:fldCharType="end"/>
          </w:r>
          <w:r>
            <w:fldChar w:fldCharType="end"/>
          </w:r>
        </w:p>
        <w:p>
          <w:pPr>
            <w:pStyle w:val="15"/>
            <w:tabs>
              <w:tab w:val="right" w:leader="dot" w:pos="8296"/>
            </w:tabs>
            <w:adjustRightInd w:val="0"/>
            <w:snapToGrid w:val="0"/>
            <w:spacing w:line="360" w:lineRule="auto"/>
            <w:rPr>
              <w:rFonts w:hint="default"/>
              <w:lang w:val="en"/>
            </w:rPr>
          </w:pPr>
          <w:r>
            <w:fldChar w:fldCharType="begin"/>
          </w:r>
          <w:r>
            <w:instrText xml:space="preserve"> HYPERLINK \l "_Toc166226812" </w:instrText>
          </w:r>
          <w:r>
            <w:fldChar w:fldCharType="separate"/>
          </w:r>
          <w:r>
            <w:rPr>
              <w:rStyle w:val="23"/>
              <w:rFonts w:ascii="方正楷体_GBK" w:eastAsia="方正楷体_GBK"/>
              <w:color w:val="auto"/>
            </w:rPr>
            <w:t>（三）确保责任落实</w:t>
          </w:r>
          <w:r>
            <w:tab/>
          </w:r>
          <w:r>
            <w:rPr>
              <w:rFonts w:hint="default"/>
              <w:lang w:val="en"/>
            </w:rPr>
            <w:t>2</w:t>
          </w:r>
          <w:r>
            <w:fldChar w:fldCharType="end"/>
          </w:r>
          <w:r>
            <w:rPr>
              <w:rFonts w:hint="default"/>
              <w:lang w:val="en"/>
            </w:rPr>
            <w:t>9</w:t>
          </w:r>
        </w:p>
        <w:p>
          <w:pPr>
            <w:adjustRightInd w:val="0"/>
            <w:snapToGrid w:val="0"/>
            <w:spacing w:before="120" w:line="360" w:lineRule="auto"/>
          </w:pPr>
          <w:r>
            <w:rPr>
              <w:b/>
              <w:bCs/>
              <w:lang w:val="zh-CN"/>
            </w:rPr>
            <w:fldChar w:fldCharType="end"/>
          </w:r>
        </w:p>
      </w:sdtContent>
    </w:sdt>
    <w:p>
      <w:pPr>
        <w:adjustRightInd w:val="0"/>
        <w:snapToGrid w:val="0"/>
        <w:spacing w:before="120" w:line="480" w:lineRule="atLeast"/>
      </w:pPr>
      <w:bookmarkStart w:id="34" w:name="_GoBack"/>
      <w:bookmarkEnd w:id="34"/>
    </w:p>
    <w:p>
      <w:pPr>
        <w:adjustRightInd w:val="0"/>
        <w:snapToGrid w:val="0"/>
        <w:spacing w:line="600" w:lineRule="exact"/>
        <w:ind w:firstLine="680" w:firstLineChars="200"/>
        <w:rPr>
          <w:rFonts w:ascii="仿宋" w:hAnsi="仿宋" w:eastAsia="仿宋"/>
          <w:sz w:val="34"/>
          <w:szCs w:val="34"/>
          <w:lang w:val="en"/>
        </w:rPr>
      </w:pPr>
      <w:r>
        <w:rPr>
          <w:rFonts w:hint="eastAsia" w:ascii="仿宋" w:hAnsi="仿宋" w:eastAsia="仿宋"/>
          <w:sz w:val="34"/>
          <w:szCs w:val="34"/>
          <w:lang w:val="en"/>
        </w:rPr>
        <w:t>为全面学习贯彻党的二十大精神和习近平总书记关于侨务工作的重要论述，深入落实江门市委市政府“港澳融合”和“侨都赋能”工程，深入实施“聚侨引智”行动，凝侨心、聚侨力、汇侨智、护侨益、拓侨牌，做好新时代“侨”的文章。依据《开平市国民经济和社会发展第十四个五年规划和二〇三五年远景目标纲要》，编制本规划。</w:t>
      </w:r>
    </w:p>
    <w:p>
      <w:pPr>
        <w:pStyle w:val="3"/>
        <w:spacing w:line="600" w:lineRule="exact"/>
        <w:ind w:left="420"/>
        <w:rPr>
          <w:rFonts w:ascii="黑体" w:hAnsi="黑体"/>
          <w:sz w:val="34"/>
          <w:szCs w:val="34"/>
        </w:rPr>
      </w:pPr>
      <w:bookmarkStart w:id="0" w:name="_Toc166226786"/>
      <w:r>
        <w:rPr>
          <w:rFonts w:hint="eastAsia" w:ascii="黑体" w:hAnsi="黑体"/>
          <w:sz w:val="34"/>
          <w:szCs w:val="34"/>
        </w:rPr>
        <w:t>一、发展基础和面临形势</w:t>
      </w:r>
      <w:bookmarkEnd w:id="0"/>
    </w:p>
    <w:p>
      <w:pPr>
        <w:adjustRightInd w:val="0"/>
        <w:snapToGrid w:val="0"/>
        <w:spacing w:line="600" w:lineRule="exact"/>
        <w:ind w:firstLine="680" w:firstLineChars="200"/>
        <w:rPr>
          <w:rFonts w:ascii="仿宋" w:hAnsi="仿宋" w:eastAsia="仿宋"/>
          <w:sz w:val="34"/>
          <w:szCs w:val="34"/>
        </w:rPr>
      </w:pPr>
      <w:r>
        <w:rPr>
          <w:rFonts w:hint="eastAsia" w:ascii="仿宋" w:hAnsi="仿宋" w:eastAsia="仿宋"/>
          <w:color w:val="auto"/>
          <w:sz w:val="34"/>
          <w:szCs w:val="34"/>
        </w:rPr>
        <w:t xml:space="preserve"> “十三五”</w:t>
      </w:r>
      <w:r>
        <w:rPr>
          <w:rFonts w:hint="eastAsia" w:ascii="仿宋" w:hAnsi="仿宋" w:eastAsia="仿宋"/>
          <w:color w:val="auto"/>
          <w:sz w:val="34"/>
          <w:szCs w:val="34"/>
          <w:lang w:eastAsia="zh-CN"/>
        </w:rPr>
        <w:t>以来</w:t>
      </w:r>
      <w:r>
        <w:rPr>
          <w:rFonts w:hint="eastAsia" w:ascii="仿宋" w:hAnsi="仿宋" w:eastAsia="仿宋"/>
          <w:color w:val="auto"/>
          <w:sz w:val="34"/>
          <w:szCs w:val="34"/>
        </w:rPr>
        <w:t>，</w:t>
      </w:r>
      <w:r>
        <w:rPr>
          <w:rFonts w:hint="eastAsia" w:ascii="仿宋" w:hAnsi="仿宋" w:eastAsia="仿宋"/>
          <w:sz w:val="34"/>
          <w:szCs w:val="34"/>
        </w:rPr>
        <w:t>全市上下围绕开平市委、市政府中心工作，充分发挥丰富的侨务资源优势，大力推进“侨务强市”建设，助力开平经济社会各项事业发展，取得重要成效。</w:t>
      </w:r>
    </w:p>
    <w:p>
      <w:pPr>
        <w:pStyle w:val="4"/>
        <w:spacing w:line="600" w:lineRule="exact"/>
        <w:ind w:left="420"/>
        <w:rPr>
          <w:rFonts w:ascii="方正楷体_GBK" w:hAnsi="仿宋" w:eastAsia="方正楷体_GBK"/>
          <w:sz w:val="34"/>
          <w:szCs w:val="34"/>
        </w:rPr>
      </w:pPr>
      <w:bookmarkStart w:id="1" w:name="_Toc166226787"/>
      <w:r>
        <w:rPr>
          <w:rFonts w:hint="eastAsia" w:ascii="方正楷体_GBK" w:hAnsi="仿宋" w:eastAsia="方正楷体_GBK"/>
          <w:sz w:val="34"/>
          <w:szCs w:val="34"/>
        </w:rPr>
        <w:t>（一）工作现状</w:t>
      </w:r>
      <w:bookmarkEnd w:id="1"/>
    </w:p>
    <w:p>
      <w:pPr>
        <w:adjustRightInd w:val="0"/>
        <w:snapToGrid w:val="0"/>
        <w:spacing w:line="600" w:lineRule="exact"/>
        <w:ind w:firstLine="682" w:firstLineChars="200"/>
        <w:rPr>
          <w:rFonts w:ascii="仿宋" w:hAnsi="仿宋" w:eastAsia="仿宋"/>
          <w:sz w:val="34"/>
          <w:szCs w:val="34"/>
        </w:rPr>
      </w:pPr>
      <w:r>
        <w:rPr>
          <w:rFonts w:hint="eastAsia" w:ascii="仿宋" w:hAnsi="仿宋" w:eastAsia="仿宋"/>
          <w:b/>
          <w:sz w:val="34"/>
          <w:szCs w:val="34"/>
        </w:rPr>
        <w:t>——城市形象对外宣传取得新突破。</w:t>
      </w:r>
      <w:r>
        <w:rPr>
          <w:rFonts w:hint="eastAsia" w:ascii="仿宋" w:hAnsi="仿宋" w:eastAsia="仿宋" w:cs="华文仿宋"/>
          <w:bCs/>
          <w:sz w:val="34"/>
          <w:szCs w:val="34"/>
        </w:rPr>
        <w:t>城市知名度得到提升。</w:t>
      </w:r>
      <w:r>
        <w:rPr>
          <w:rFonts w:hint="eastAsia" w:ascii="仿宋" w:hAnsi="仿宋" w:eastAsia="仿宋"/>
          <w:sz w:val="34"/>
          <w:szCs w:val="34"/>
        </w:rPr>
        <w:t>邀请新华社、中新社、南方日报、广东广播电视台、羊城晚报、南方都市报、广州日报、香港商报等8家中央、省级主流媒体，成立开平市外宣顾问团队；以其为依托，实现中央、省、市、县四级媒体有效互动，共计推送、发布开平动态新闻、专题报道180</w:t>
      </w:r>
      <w:r>
        <w:rPr>
          <w:rFonts w:ascii="仿宋" w:hAnsi="仿宋" w:eastAsia="仿宋"/>
          <w:sz w:val="34"/>
          <w:szCs w:val="34"/>
        </w:rPr>
        <w:t>0</w:t>
      </w:r>
      <w:r>
        <w:rPr>
          <w:rFonts w:hint="eastAsia" w:ascii="仿宋" w:hAnsi="仿宋" w:eastAsia="仿宋"/>
          <w:sz w:val="34"/>
          <w:szCs w:val="34"/>
        </w:rPr>
        <w:t>0多篇（次），有力提升开平城市知名度、美誉度。成功举办“湾区花正开——首届粤港澳大湾区文化艺术节暨2019世界文化遗产嘉年华”等活动，圆满完成央视2020年戏曲春晚拍摄录制，全面展示开平华侨文化丰富内涵。</w:t>
      </w:r>
      <w:r>
        <w:rPr>
          <w:rFonts w:hint="eastAsia" w:ascii="仿宋" w:hAnsi="仿宋" w:eastAsia="仿宋" w:cs="华文仿宋"/>
          <w:bCs/>
          <w:sz w:val="34"/>
          <w:szCs w:val="34"/>
        </w:rPr>
        <w:t>融媒体矩阵全省领先。</w:t>
      </w:r>
      <w:r>
        <w:rPr>
          <w:rFonts w:hint="eastAsia" w:ascii="仿宋" w:hAnsi="仿宋" w:eastAsia="仿宋"/>
          <w:sz w:val="34"/>
          <w:szCs w:val="34"/>
        </w:rPr>
        <w:t>开平市融媒体中心入选广东2个全国县级融媒体中心建设试点单位之一，并率先建成融媒体矩阵，媒体融合发展走在全省各县前列。“开平广播电视台”微信公众号粉丝超26万，在全国县级电视台微信号排行榜中最高位居第2，稳居广东县级台第1，被中国传媒行业协会评为“‘影响中国传媒’最具成长性新媒体”。</w:t>
      </w:r>
    </w:p>
    <w:p>
      <w:pPr>
        <w:adjustRightInd w:val="0"/>
        <w:snapToGrid w:val="0"/>
        <w:spacing w:line="600" w:lineRule="exact"/>
        <w:ind w:firstLine="682" w:firstLineChars="200"/>
        <w:rPr>
          <w:rFonts w:ascii="仿宋" w:hAnsi="仿宋" w:eastAsia="仿宋"/>
          <w:sz w:val="34"/>
          <w:szCs w:val="34"/>
        </w:rPr>
      </w:pPr>
      <w:r>
        <w:rPr>
          <w:rFonts w:hint="eastAsia" w:ascii="仿宋" w:hAnsi="仿宋" w:eastAsia="仿宋"/>
          <w:b/>
          <w:sz w:val="34"/>
          <w:szCs w:val="34"/>
        </w:rPr>
        <w:t>——华侨文化保护利用取得新成果。</w:t>
      </w:r>
      <w:r>
        <w:rPr>
          <w:rFonts w:hint="eastAsia" w:ascii="仿宋" w:hAnsi="仿宋" w:eastAsia="仿宋" w:cs="华文仿宋"/>
          <w:bCs/>
          <w:sz w:val="34"/>
          <w:szCs w:val="34"/>
        </w:rPr>
        <w:t>深入推进文化创作研究。</w:t>
      </w:r>
      <w:r>
        <w:rPr>
          <w:rFonts w:hint="eastAsia" w:ascii="仿宋" w:hAnsi="仿宋" w:eastAsia="仿宋"/>
          <w:sz w:val="34"/>
          <w:szCs w:val="34"/>
        </w:rPr>
        <w:t>大力弘扬侨乡文化，建成碉楼文化研究中心，助力创建省级华侨文化生态保护区，塘口镇成功申报“中国华侨国际文化交流基地”，广东音乐非遗传承教学基地挂牌成立，创作发掘一批反映华侨文化的文学艺术作品。成功承办“中国侨都·红线女粤剧艺术周”暨新编粤剧《碉楼》巡演、原创话剧《碉楼·寒燕归巢》公演，举行“</w:t>
      </w:r>
      <w:r>
        <w:rPr>
          <w:rFonts w:hint="eastAsia" w:ascii="仿宋" w:hAnsi="仿宋" w:eastAsia="仿宋"/>
          <w:sz w:val="34"/>
          <w:szCs w:val="34"/>
          <w:lang w:eastAsia="zh-CN"/>
        </w:rPr>
        <w:t>侨都拉美文化节</w:t>
      </w:r>
      <w:r>
        <w:rPr>
          <w:rFonts w:hint="eastAsia" w:ascii="仿宋" w:hAnsi="仿宋" w:eastAsia="仿宋"/>
          <w:sz w:val="34"/>
          <w:szCs w:val="34"/>
        </w:rPr>
        <w:t>”等文化交流活动。</w:t>
      </w:r>
      <w:r>
        <w:rPr>
          <w:rFonts w:hint="eastAsia" w:ascii="仿宋" w:hAnsi="仿宋" w:eastAsia="仿宋" w:cs="华文仿宋"/>
          <w:bCs/>
          <w:sz w:val="34"/>
          <w:szCs w:val="34"/>
        </w:rPr>
        <w:t>有序挖掘文化资源。</w:t>
      </w:r>
      <w:r>
        <w:rPr>
          <w:rFonts w:hint="eastAsia" w:ascii="仿宋" w:hAnsi="仿宋" w:eastAsia="仿宋"/>
          <w:sz w:val="34"/>
          <w:szCs w:val="34"/>
        </w:rPr>
        <w:t>重视华侨文化历史的保护和利用，完成司徒美堂、红线女等名人故居的修复；司徒美堂故居、风采堂获批成为第八批全国重点文物保护单位。塘口“仓东遗产教育基地”被联合国教科文组织亚太遗产中心评选为全球世界遗产教育创新十个优秀推荐案例之一，使其成为海外乡亲维系乡情的重要纽带和桥梁。</w:t>
      </w:r>
      <w:r>
        <w:rPr>
          <w:rFonts w:hint="eastAsia" w:ascii="仿宋" w:hAnsi="仿宋" w:eastAsia="仿宋" w:cs="华文仿宋"/>
          <w:bCs/>
          <w:sz w:val="34"/>
          <w:szCs w:val="34"/>
        </w:rPr>
        <w:t>大力发展文创产业。</w:t>
      </w:r>
      <w:r>
        <w:rPr>
          <w:rFonts w:hint="eastAsia" w:ascii="仿宋" w:hAnsi="仿宋" w:eastAsia="仿宋"/>
          <w:sz w:val="34"/>
          <w:szCs w:val="34"/>
        </w:rPr>
        <w:t>华侨文化产业有新的发展，赤坎华侨古镇成为省级特色小镇创建示范点，塘口镇强亚村入选全国乡村旅游重点村，大沙镇大塘面村入选第二批广东省文化和旅游特色村。开平市博物馆被认定为广东省第二批文化文物单位文化创意产品开发试点单位。成功举办"设计激活世遗"国际文创大赛及成果展，通过"赛展融合、政企联动、全民参与"的方式，推动文创项目落地。</w:t>
      </w:r>
    </w:p>
    <w:p>
      <w:pPr>
        <w:adjustRightInd w:val="0"/>
        <w:snapToGrid w:val="0"/>
        <w:spacing w:line="600" w:lineRule="exact"/>
        <w:ind w:firstLine="682" w:firstLineChars="200"/>
        <w:rPr>
          <w:rFonts w:ascii="仿宋" w:hAnsi="仿宋" w:eastAsia="仿宋"/>
          <w:sz w:val="34"/>
          <w:szCs w:val="34"/>
        </w:rPr>
      </w:pPr>
      <w:r>
        <w:rPr>
          <w:rFonts w:hint="eastAsia" w:ascii="仿宋" w:hAnsi="仿宋" w:eastAsia="仿宋"/>
          <w:b/>
          <w:sz w:val="34"/>
          <w:szCs w:val="34"/>
        </w:rPr>
        <w:t>——“侨资源”服务经济取得新成效。</w:t>
      </w:r>
      <w:r>
        <w:rPr>
          <w:rFonts w:hint="eastAsia" w:ascii="仿宋" w:hAnsi="仿宋" w:eastAsia="仿宋"/>
          <w:bCs/>
          <w:sz w:val="34"/>
          <w:szCs w:val="34"/>
        </w:rPr>
        <w:t>全市</w:t>
      </w:r>
      <w:r>
        <w:rPr>
          <w:rFonts w:hint="eastAsia" w:ascii="仿宋" w:hAnsi="仿宋" w:eastAsia="仿宋"/>
          <w:sz w:val="34"/>
          <w:szCs w:val="34"/>
        </w:rPr>
        <w:t>侨资、侨企不断发展壮大，成为推动开平经济发展的中坚力量。</w:t>
      </w:r>
      <w:r>
        <w:rPr>
          <w:rFonts w:hint="eastAsia" w:ascii="仿宋" w:hAnsi="仿宋" w:eastAsia="仿宋" w:cs="方正仿宋_GBK"/>
          <w:color w:val="auto"/>
          <w:sz w:val="34"/>
          <w:szCs w:val="34"/>
        </w:rPr>
        <w:t>截至2019年底，港澳投资企业265家，投资总额19.1亿美元，全市港澳资企业占全市外资数量比例80%。</w:t>
      </w:r>
      <w:r>
        <w:rPr>
          <w:rFonts w:hint="eastAsia" w:ascii="仿宋" w:hAnsi="仿宋" w:eastAsia="仿宋"/>
          <w:sz w:val="34"/>
          <w:szCs w:val="34"/>
        </w:rPr>
        <w:t>“双创”平台进一步完善。打造中国（江门）“侨梦苑”华侨华人创新产业聚集区开平分园</w:t>
      </w:r>
      <w:r>
        <w:rPr>
          <w:rFonts w:hint="eastAsia" w:ascii="仿宋" w:hAnsi="仿宋" w:eastAsia="仿宋"/>
          <w:sz w:val="34"/>
          <w:szCs w:val="34"/>
          <w:lang w:eastAsia="zh-CN"/>
        </w:rPr>
        <w:t>（下称</w:t>
      </w:r>
      <w:r>
        <w:rPr>
          <w:rFonts w:hint="eastAsia" w:ascii="仿宋" w:hAnsi="仿宋" w:eastAsia="仿宋"/>
          <w:sz w:val="34"/>
          <w:szCs w:val="34"/>
        </w:rPr>
        <w:t>“侨梦苑”开平分园</w:t>
      </w:r>
      <w:r>
        <w:rPr>
          <w:rFonts w:hint="eastAsia" w:ascii="仿宋" w:hAnsi="仿宋" w:eastAsia="仿宋"/>
          <w:sz w:val="34"/>
          <w:szCs w:val="34"/>
          <w:lang w:eastAsia="zh-CN"/>
        </w:rPr>
        <w:t>）</w:t>
      </w:r>
      <w:r>
        <w:rPr>
          <w:rFonts w:hint="eastAsia" w:ascii="仿宋" w:hAnsi="仿宋" w:eastAsia="仿宋"/>
          <w:sz w:val="34"/>
          <w:szCs w:val="34"/>
        </w:rPr>
        <w:t>、江门（塘口）江澳青年文创基地、赤坎侨小馆等主要侨创平台，为港澳台侨胞营造良好的创新创业环境。塘口镇青创空间成为港澳青年考察交流、项目对接、创新创业的重要平台。创新创业活动效果明显，成功举办两届“翠山湖杯”开平市创业创新大赛，港澳籍青年在开平注册公司超过100家。连续三年举办江门市“乐业五邑”创业创新大赛之华侨华人创业创新赛。</w:t>
      </w:r>
    </w:p>
    <w:p>
      <w:pPr>
        <w:adjustRightInd w:val="0"/>
        <w:snapToGrid w:val="0"/>
        <w:spacing w:line="600" w:lineRule="exact"/>
        <w:ind w:firstLine="682" w:firstLineChars="200"/>
        <w:rPr>
          <w:rFonts w:ascii="仿宋" w:hAnsi="仿宋" w:eastAsia="仿宋"/>
          <w:kern w:val="28"/>
          <w:sz w:val="34"/>
          <w:szCs w:val="34"/>
        </w:rPr>
      </w:pPr>
      <w:bookmarkStart w:id="2" w:name="_Toc51797790"/>
      <w:r>
        <w:rPr>
          <w:rFonts w:hint="eastAsia" w:ascii="仿宋" w:hAnsi="仿宋" w:eastAsia="仿宋"/>
          <w:b/>
          <w:sz w:val="34"/>
          <w:szCs w:val="34"/>
        </w:rPr>
        <w:t>——涉侨服务与侨资保护取得新进展。</w:t>
      </w:r>
      <w:r>
        <w:rPr>
          <w:rFonts w:hint="eastAsia" w:ascii="仿宋" w:hAnsi="仿宋" w:eastAsia="仿宋" w:cs="仿宋_GB2312"/>
          <w:bCs/>
          <w:kern w:val="28"/>
          <w:sz w:val="34"/>
          <w:szCs w:val="34"/>
        </w:rPr>
        <w:t>涉侨服务保障到位。</w:t>
      </w:r>
      <w:r>
        <w:rPr>
          <w:rFonts w:hint="eastAsia" w:ascii="仿宋" w:hAnsi="仿宋" w:eastAsia="仿宋" w:cs="仿宋_GB2312"/>
          <w:kern w:val="28"/>
          <w:sz w:val="34"/>
          <w:szCs w:val="34"/>
        </w:rPr>
        <w:t>率先在江门地区成立华侨华人港澳台同胞综合服务中心，华侨华人港澳台同胞综合服务专窗实现镇（街）全覆盖。“税+侨”“法+侨”“检+侨”“司+侨”工作实现新突破，建立便利华侨华人投资税收服务联动工作机制，成立江门市便利华侨华人投资税收服务中心开平市分中心、开平市华侨华人港澳台同胞公共法律服务中心。市法院、司法局、侨务局在三埠街道、赤坎镇成立涉侨纠纷调解室，</w:t>
      </w:r>
      <w:r>
        <w:rPr>
          <w:rFonts w:ascii="仿宋" w:hAnsi="仿宋" w:eastAsia="仿宋" w:cs="仿宋_GB2312"/>
          <w:kern w:val="28"/>
          <w:sz w:val="34"/>
          <w:szCs w:val="34"/>
        </w:rPr>
        <w:t>检察院</w:t>
      </w:r>
      <w:r>
        <w:rPr>
          <w:rFonts w:hint="eastAsia" w:ascii="仿宋" w:hAnsi="仿宋" w:eastAsia="仿宋" w:cs="仿宋_GB2312"/>
          <w:kern w:val="28"/>
          <w:sz w:val="34"/>
          <w:szCs w:val="34"/>
        </w:rPr>
        <w:t>设立</w:t>
      </w:r>
      <w:r>
        <w:rPr>
          <w:rFonts w:ascii="仿宋" w:hAnsi="仿宋" w:eastAsia="仿宋" w:cs="仿宋_GB2312"/>
          <w:kern w:val="28"/>
          <w:sz w:val="34"/>
          <w:szCs w:val="34"/>
        </w:rPr>
        <w:t>侨资企业服务站</w:t>
      </w:r>
      <w:r>
        <w:rPr>
          <w:rFonts w:hint="eastAsia" w:ascii="仿宋" w:hAnsi="仿宋" w:eastAsia="仿宋" w:cs="仿宋_GB2312"/>
          <w:kern w:val="28"/>
          <w:sz w:val="34"/>
          <w:szCs w:val="34"/>
        </w:rPr>
        <w:t>，法院与归国华侨联合会成立涉侨纠纷诉调对接工作室，首创涉侨领域矛盾纠纷“多元化解+1”模式。举办“侨帮侨”活动，解决困难归侨生活、医疗、就业、创业、教育等问题，为342位归侨做好涉侨服务，对其子女依法享受义务教育权利和高中考的政策加分落实率达100%。赤坎镇护龙村成为江门市首个“全国为侨公共服务示范单位”。</w:t>
      </w:r>
      <w:r>
        <w:rPr>
          <w:rFonts w:hint="eastAsia" w:ascii="仿宋" w:hAnsi="仿宋" w:eastAsia="仿宋" w:cs="仿宋_GB2312"/>
          <w:bCs/>
          <w:kern w:val="28"/>
          <w:sz w:val="34"/>
          <w:szCs w:val="34"/>
        </w:rPr>
        <w:t>侨资侨产保护成效明显。</w:t>
      </w:r>
      <w:r>
        <w:rPr>
          <w:rFonts w:hint="eastAsia" w:ascii="仿宋" w:hAnsi="仿宋" w:eastAsia="仿宋" w:cs="仿宋_GB2312"/>
          <w:kern w:val="28"/>
          <w:sz w:val="34"/>
          <w:szCs w:val="34"/>
        </w:rPr>
        <w:t>认真落实侨资侨产保护相关制度，全面普查并确权1833座碉楼，修缮侨资捐建的57间医疗卫生</w:t>
      </w:r>
      <w:r>
        <w:rPr>
          <w:rFonts w:hint="eastAsia" w:ascii="仿宋" w:hAnsi="仿宋" w:eastAsia="仿宋" w:cs="仿宋_GB2312"/>
          <w:kern w:val="28"/>
          <w:sz w:val="34"/>
          <w:szCs w:val="34"/>
          <w:lang w:eastAsia="zh-CN"/>
        </w:rPr>
        <w:t>机构</w:t>
      </w:r>
      <w:r>
        <w:rPr>
          <w:rFonts w:hint="eastAsia" w:ascii="仿宋" w:hAnsi="仿宋" w:eastAsia="仿宋" w:cs="仿宋_GB2312"/>
          <w:kern w:val="28"/>
          <w:sz w:val="34"/>
          <w:szCs w:val="34"/>
        </w:rPr>
        <w:t>和22间敬老院等建筑。大力推进</w:t>
      </w:r>
      <w:r>
        <w:rPr>
          <w:rFonts w:hint="eastAsia" w:ascii="仿宋" w:hAnsi="仿宋" w:eastAsia="仿宋"/>
          <w:kern w:val="28"/>
          <w:sz w:val="34"/>
          <w:szCs w:val="34"/>
        </w:rPr>
        <w:t>侨捐、侨建和侨址创新活化工作，顺利完成赤坎华侨古镇项目的房屋和用地征收工作，征收对象超过100条自然村、涉及两万村民及赤坎镇上的3981户居民，实现“零投诉、零上访”，古镇项目活化成为了开平市侨心所向、民心所系的“固根筑梦”工程。</w:t>
      </w:r>
    </w:p>
    <w:p>
      <w:pPr>
        <w:adjustRightInd w:val="0"/>
        <w:snapToGrid w:val="0"/>
        <w:spacing w:line="600" w:lineRule="exact"/>
        <w:ind w:firstLine="680" w:firstLineChars="200"/>
        <w:rPr>
          <w:rFonts w:ascii="仿宋" w:hAnsi="仿宋" w:eastAsia="仿宋" w:cs="仿宋"/>
          <w:sz w:val="34"/>
          <w:szCs w:val="34"/>
        </w:rPr>
      </w:pPr>
      <w:r>
        <w:rPr>
          <w:rFonts w:hint="eastAsia" w:ascii="仿宋" w:hAnsi="仿宋" w:eastAsia="仿宋"/>
          <w:kern w:val="28"/>
          <w:sz w:val="34"/>
          <w:szCs w:val="34"/>
        </w:rPr>
        <w:t>——</w:t>
      </w:r>
      <w:r>
        <w:rPr>
          <w:rFonts w:hint="eastAsia" w:ascii="仿宋" w:hAnsi="仿宋" w:eastAsia="仿宋" w:cs="仿宋_GB2312"/>
          <w:b/>
          <w:kern w:val="28"/>
          <w:sz w:val="34"/>
          <w:szCs w:val="34"/>
        </w:rPr>
        <w:t>人才引进实现新突破。</w:t>
      </w:r>
      <w:r>
        <w:rPr>
          <w:rFonts w:hint="eastAsia" w:ascii="仿宋" w:hAnsi="仿宋" w:eastAsia="仿宋"/>
          <w:kern w:val="28"/>
          <w:sz w:val="34"/>
          <w:szCs w:val="34"/>
        </w:rPr>
        <w:t>加大侨界青年精英、留学归国高层次人才引进力度，成立开平市海归人员发展委员会，吸纳海外开平籍及在我市工作的留学生逾</w:t>
      </w:r>
      <w:r>
        <w:rPr>
          <w:rFonts w:ascii="仿宋" w:hAnsi="仿宋" w:eastAsia="仿宋"/>
          <w:kern w:val="28"/>
          <w:sz w:val="34"/>
          <w:szCs w:val="34"/>
        </w:rPr>
        <w:t>200多人成为注册会员。搭建以侨文化、海文化为纽带的创业创新载体，成功创建开平侨</w:t>
      </w:r>
      <w:r>
        <w:rPr>
          <w:rFonts w:hint="eastAsia" w:ascii="仿宋" w:hAnsi="仿宋" w:eastAsia="仿宋"/>
          <w:kern w:val="28"/>
          <w:sz w:val="34"/>
          <w:szCs w:val="34"/>
        </w:rPr>
        <w:t>青创业创新集聚区，在翠山湖工业园建设“侨青示范创业基地”，吸引旅外乡亲、华商、留学回国高层次人才在开平创新创业。</w:t>
      </w:r>
      <w:bookmarkEnd w:id="2"/>
    </w:p>
    <w:p>
      <w:pPr>
        <w:pStyle w:val="4"/>
        <w:spacing w:line="600" w:lineRule="exact"/>
        <w:ind w:left="420"/>
        <w:rPr>
          <w:rFonts w:ascii="方正楷体_GBK" w:hAnsi="仿宋" w:eastAsia="方正楷体_GBK"/>
          <w:sz w:val="34"/>
          <w:szCs w:val="34"/>
        </w:rPr>
      </w:pPr>
      <w:bookmarkStart w:id="3" w:name="_Toc51797798"/>
      <w:bookmarkStart w:id="4" w:name="_Toc166226788"/>
      <w:r>
        <w:rPr>
          <w:rFonts w:hint="eastAsia" w:ascii="方正楷体_GBK" w:hAnsi="仿宋" w:eastAsia="方正楷体_GBK"/>
          <w:sz w:val="34"/>
          <w:szCs w:val="34"/>
        </w:rPr>
        <w:t>（二）面临形势</w:t>
      </w:r>
      <w:bookmarkEnd w:id="3"/>
      <w:bookmarkEnd w:id="4"/>
    </w:p>
    <w:p>
      <w:pPr>
        <w:adjustRightInd w:val="0"/>
        <w:snapToGrid w:val="0"/>
        <w:spacing w:line="600" w:lineRule="exact"/>
        <w:ind w:firstLine="680" w:firstLineChars="200"/>
        <w:rPr>
          <w:rFonts w:ascii="仿宋" w:hAnsi="仿宋" w:eastAsia="仿宋" w:cs="仿宋"/>
          <w:sz w:val="34"/>
          <w:szCs w:val="34"/>
        </w:rPr>
      </w:pPr>
      <w:r>
        <w:rPr>
          <w:rFonts w:hint="eastAsia" w:ascii="仿宋" w:hAnsi="仿宋" w:eastAsia="仿宋" w:cs="仿宋"/>
          <w:sz w:val="34"/>
          <w:szCs w:val="34"/>
        </w:rPr>
        <w:t>国际形势变化为侨务强市建设面临新考验。当今世界正处于大发展大变革大调整时期，随着世界多极化、经济全球化、社会信息化、文化多样化和科学技术深入发展，全球治理体系和国际秩序变革加速推进，各国相互联系和依存日益加深，国际力量对比更趋平衡，和平发展大势不可逆转，各国人民之间的交流活动越发广泛，维护和践行多边主义，推动共建人类命运共同体越来越成为国际社会普遍共识。但也要看到，世界正经历百年未有之大变局，国际环境日益复杂，随着逆全球化和保护主义抬头，对世界形成新的压力和挑战，不稳定性不确定性明显增强，人类面临许多共同的挑战。中美关系变化，为世界各国间联系沟通交往增添了新的不确定性因素，对华侨华人与国内各方面合作交流带来了较大影响，形势复杂严峻，侨务工作的难度不断增加。</w:t>
      </w:r>
    </w:p>
    <w:p>
      <w:pPr>
        <w:adjustRightInd w:val="0"/>
        <w:snapToGrid w:val="0"/>
        <w:spacing w:line="600" w:lineRule="exact"/>
        <w:ind w:firstLine="680" w:firstLineChars="200"/>
        <w:rPr>
          <w:rFonts w:ascii="仿宋" w:hAnsi="仿宋" w:eastAsia="仿宋" w:cs="仿宋"/>
          <w:sz w:val="34"/>
          <w:szCs w:val="34"/>
        </w:rPr>
      </w:pPr>
      <w:r>
        <w:rPr>
          <w:rFonts w:hint="eastAsia" w:ascii="仿宋" w:hAnsi="仿宋" w:eastAsia="仿宋" w:cs="仿宋"/>
          <w:bCs/>
          <w:sz w:val="34"/>
          <w:szCs w:val="34"/>
        </w:rPr>
        <w:t>构建新发展格局对侨务强市建设提出新要求。</w:t>
      </w:r>
      <w:r>
        <w:rPr>
          <w:rFonts w:hint="eastAsia" w:ascii="仿宋" w:hAnsi="仿宋" w:eastAsia="仿宋" w:cs="仿宋"/>
          <w:sz w:val="34"/>
          <w:szCs w:val="34"/>
        </w:rPr>
        <w:t>“十四五”时期是我国进入新发展阶段，开启全面建设社会主义现代化强国的第一个五年，加快形成以国内大循环为主体、国内国际双循环相互促进的新发展格局。海外华侨华人社会结构发生重大改变，新华侨华人和华裔新生代成为主体，生存发展环境明显改善，经济科技实力和政治影响力进一步增强，与家乡的联系更加密切、合作交流更加频繁，凝聚力、向心力进一步增强，已经成为实现中华民族伟大复兴中国梦以及推动构建人类命运共同体的重要力量，为侨务工作提出了新的更高要求。</w:t>
      </w:r>
    </w:p>
    <w:p>
      <w:pPr>
        <w:adjustRightInd w:val="0"/>
        <w:snapToGrid w:val="0"/>
        <w:spacing w:line="600" w:lineRule="exact"/>
        <w:ind w:firstLine="680" w:firstLineChars="200"/>
        <w:rPr>
          <w:rFonts w:ascii="仿宋" w:hAnsi="仿宋" w:eastAsia="仿宋" w:cs="仿宋"/>
          <w:sz w:val="34"/>
          <w:szCs w:val="34"/>
        </w:rPr>
      </w:pPr>
      <w:r>
        <w:rPr>
          <w:rFonts w:hint="eastAsia" w:ascii="仿宋" w:hAnsi="仿宋" w:eastAsia="仿宋" w:cs="仿宋"/>
          <w:sz w:val="34"/>
          <w:szCs w:val="34"/>
        </w:rPr>
        <w:t>先行先试政策给侨务工作带来新机遇。中央支持广东在全面建设社会主义现代化国家新征程中走在全国前列、创造新的辉煌，国家战略和先行先试政策优势叠加，为开平带来难得发展机遇。在江门市第十四次党代会提出深入推进“侨都赋能”“港澳融合”工程，发挥侨资源独特优势，着力优化提升“文化交流、经贸合作、维护权益、侨务智库”四大功能，把江门建设成新时代华侨华人经济文化合作示范区，为新时代侨务工作明确了方向。</w:t>
      </w:r>
    </w:p>
    <w:p>
      <w:pPr>
        <w:adjustRightInd w:val="0"/>
        <w:snapToGrid w:val="0"/>
        <w:spacing w:line="600" w:lineRule="exact"/>
        <w:ind w:firstLine="680" w:firstLineChars="200"/>
        <w:rPr>
          <w:rFonts w:ascii="仿宋" w:hAnsi="仿宋" w:eastAsia="仿宋" w:cs="仿宋"/>
          <w:sz w:val="34"/>
          <w:szCs w:val="34"/>
        </w:rPr>
      </w:pPr>
      <w:r>
        <w:rPr>
          <w:rFonts w:hint="eastAsia" w:ascii="仿宋" w:hAnsi="仿宋" w:eastAsia="仿宋" w:cs="仿宋"/>
          <w:sz w:val="34"/>
          <w:szCs w:val="34"/>
        </w:rPr>
        <w:t>粤港澳大湾区和深圳中国特色社会主义先行示范区建设为侨务强市建设拓展了新空间。“十四五”期间，“两个大局”深度联动，广东省开展的“双区”建设和“双城”驱动利好叠加，江门市“侨都赋能”工程实施以及要打造粤港澳大湾区华侨华人文化交流合作重要平台，为我市侨务工作质量提升、创新发展注入了新活力。</w:t>
      </w:r>
    </w:p>
    <w:p>
      <w:pPr>
        <w:adjustRightInd w:val="0"/>
        <w:snapToGrid w:val="0"/>
        <w:spacing w:line="600" w:lineRule="exact"/>
        <w:ind w:firstLine="680" w:firstLineChars="200"/>
        <w:rPr>
          <w:rFonts w:ascii="仿宋" w:hAnsi="仿宋" w:eastAsia="仿宋" w:cs="仿宋"/>
          <w:sz w:val="34"/>
          <w:szCs w:val="34"/>
        </w:rPr>
      </w:pPr>
      <w:r>
        <w:rPr>
          <w:rFonts w:hint="eastAsia" w:ascii="仿宋" w:hAnsi="仿宋" w:eastAsia="仿宋" w:cs="仿宋"/>
          <w:sz w:val="34"/>
          <w:szCs w:val="34"/>
        </w:rPr>
        <w:t>我市侨务强市建设面临新任务新挑战。不断深化侨务改革，创新工作，破解突出问题，积极构建大侨务工作格局，不断完善为侨服务政策和工作体系，赤坎华侨古镇建设深入推进，侨务强市建设正在成为引领全市高质量发展的重要抓手。</w:t>
      </w:r>
      <w:r>
        <w:rPr>
          <w:rFonts w:hint="eastAsia" w:ascii="仿宋" w:hAnsi="仿宋" w:eastAsia="仿宋" w:cs="仿宋"/>
          <w:sz w:val="34"/>
          <w:szCs w:val="34"/>
          <w:lang w:eastAsia="zh-CN"/>
        </w:rPr>
        <w:t>与此同时，我们</w:t>
      </w:r>
      <w:r>
        <w:rPr>
          <w:rFonts w:hint="eastAsia" w:ascii="仿宋" w:hAnsi="仿宋" w:eastAsia="仿宋" w:cs="仿宋"/>
          <w:sz w:val="34"/>
          <w:szCs w:val="34"/>
        </w:rPr>
        <w:t>也要深刻地认识到我市各部门、各单位在统筹协调关于抓好侨务工作以及合力发挥侨资源优势的机制上还需进一步完善，在聚侨引侨惠侨方面仍存在薄弱环节。在新形势下，开平要抓住机遇，应对挑战，趋利避害，奋勇前进，在危机中育先机、于变局中开新局，以更高的要求和更大的担当，开启建设新时代侨</w:t>
      </w:r>
      <w:r>
        <w:rPr>
          <w:rFonts w:hint="eastAsia" w:ascii="仿宋" w:hAnsi="仿宋" w:eastAsia="仿宋" w:cs="仿宋"/>
          <w:sz w:val="34"/>
          <w:szCs w:val="34"/>
          <w:lang w:eastAsia="zh-CN"/>
        </w:rPr>
        <w:t>乡</w:t>
      </w:r>
      <w:r>
        <w:rPr>
          <w:rFonts w:hint="eastAsia" w:ascii="仿宋" w:hAnsi="仿宋" w:eastAsia="仿宋" w:cs="仿宋"/>
          <w:sz w:val="34"/>
          <w:szCs w:val="34"/>
        </w:rPr>
        <w:t>高质量发展的新征程。</w:t>
      </w:r>
    </w:p>
    <w:p>
      <w:pPr>
        <w:pStyle w:val="3"/>
        <w:spacing w:line="600" w:lineRule="exact"/>
        <w:ind w:left="420"/>
        <w:rPr>
          <w:rFonts w:ascii="黑体" w:hAnsi="黑体"/>
          <w:sz w:val="34"/>
          <w:szCs w:val="34"/>
        </w:rPr>
      </w:pPr>
      <w:bookmarkStart w:id="5" w:name="_Toc51797801"/>
      <w:bookmarkStart w:id="6" w:name="_Toc166226789"/>
      <w:r>
        <w:rPr>
          <w:rFonts w:hint="eastAsia" w:ascii="黑体" w:hAnsi="黑体"/>
          <w:sz w:val="34"/>
          <w:szCs w:val="34"/>
        </w:rPr>
        <w:t>二、指导思想与</w:t>
      </w:r>
      <w:bookmarkEnd w:id="5"/>
      <w:r>
        <w:rPr>
          <w:rFonts w:hint="eastAsia" w:ascii="黑体" w:hAnsi="黑体"/>
          <w:sz w:val="34"/>
          <w:szCs w:val="34"/>
        </w:rPr>
        <w:t>发展定位</w:t>
      </w:r>
      <w:bookmarkEnd w:id="6"/>
    </w:p>
    <w:p>
      <w:pPr>
        <w:pStyle w:val="4"/>
        <w:spacing w:line="600" w:lineRule="exact"/>
        <w:ind w:left="420"/>
        <w:rPr>
          <w:rFonts w:ascii="方正楷体_GBK" w:hAnsi="仿宋" w:eastAsia="方正楷体_GBK"/>
          <w:sz w:val="34"/>
          <w:szCs w:val="34"/>
        </w:rPr>
      </w:pPr>
      <w:bookmarkStart w:id="7" w:name="_Toc51797802"/>
      <w:bookmarkStart w:id="8" w:name="_Toc166226790"/>
      <w:r>
        <w:rPr>
          <w:rFonts w:hint="eastAsia" w:ascii="方正楷体_GBK" w:hAnsi="仿宋" w:eastAsia="方正楷体_GBK"/>
          <w:sz w:val="34"/>
          <w:szCs w:val="34"/>
        </w:rPr>
        <w:t>（一）指导思想</w:t>
      </w:r>
      <w:bookmarkEnd w:id="7"/>
      <w:bookmarkEnd w:id="8"/>
    </w:p>
    <w:p>
      <w:pPr>
        <w:adjustRightInd w:val="0"/>
        <w:snapToGrid w:val="0"/>
        <w:spacing w:line="600" w:lineRule="exact"/>
        <w:ind w:firstLine="680" w:firstLineChars="200"/>
        <w:rPr>
          <w:rFonts w:ascii="仿宋" w:hAnsi="仿宋" w:eastAsia="仿宋" w:cs="仿宋"/>
          <w:sz w:val="34"/>
          <w:szCs w:val="34"/>
        </w:rPr>
      </w:pPr>
      <w:r>
        <w:rPr>
          <w:rFonts w:hint="eastAsia" w:ascii="仿宋" w:hAnsi="仿宋" w:eastAsia="仿宋" w:cs="仿宋"/>
          <w:sz w:val="34"/>
          <w:szCs w:val="34"/>
        </w:rPr>
        <w:t>坚持以习近平新时代中国特色社会主义思想为指导，全面贯彻落实党的二十大精神和习近平总书记关于侨务工作的重要论述，按照广东省委“锚定一个目标，激活三大动力，奋力实现十大新突破”的“1310”具体部署，贯彻落实江门市委“1+6+3”工作安排以及开平市委“六大行动”，立足国内国际“两个大局”，牢牢把握凝心聚力同圆共享中国梦的主题，紧紧围绕“根、魂、梦”新时代侨务工作主线，积极服务和对接国家战略，牢固树立“大侨务”理念，加强和改进侨务工作，整合发挥全球华侨华人资源，助力开平争创国家乡村振兴示范县和省“百县千镇万村高质量发展工程”示范县，奋力再造一个现代化新开平。</w:t>
      </w:r>
    </w:p>
    <w:p>
      <w:pPr>
        <w:pStyle w:val="4"/>
        <w:spacing w:line="600" w:lineRule="exact"/>
        <w:ind w:left="420" w:leftChars="0"/>
        <w:rPr>
          <w:rFonts w:ascii="方正楷体_GBK" w:hAnsi="仿宋" w:eastAsia="方正楷体_GBK"/>
          <w:sz w:val="34"/>
          <w:szCs w:val="34"/>
        </w:rPr>
      </w:pPr>
      <w:bookmarkStart w:id="9" w:name="_Toc51797803"/>
      <w:bookmarkStart w:id="10" w:name="_Toc166226791"/>
      <w:r>
        <w:rPr>
          <w:rFonts w:hint="eastAsia" w:ascii="方正楷体_GBK" w:hAnsi="仿宋" w:eastAsia="方正楷体_GBK"/>
          <w:sz w:val="34"/>
          <w:szCs w:val="34"/>
        </w:rPr>
        <w:t>（二）基本原则</w:t>
      </w:r>
      <w:bookmarkEnd w:id="9"/>
      <w:bookmarkEnd w:id="10"/>
    </w:p>
    <w:p>
      <w:pPr>
        <w:adjustRightInd w:val="0"/>
        <w:snapToGrid w:val="0"/>
        <w:spacing w:line="600" w:lineRule="exact"/>
        <w:ind w:firstLine="682" w:firstLineChars="200"/>
        <w:rPr>
          <w:rFonts w:ascii="仿宋" w:hAnsi="仿宋" w:eastAsia="仿宋" w:cs="仿宋"/>
          <w:sz w:val="34"/>
          <w:szCs w:val="34"/>
        </w:rPr>
      </w:pPr>
      <w:r>
        <w:rPr>
          <w:rFonts w:hint="eastAsia" w:ascii="仿宋" w:hAnsi="仿宋" w:eastAsia="仿宋" w:cs="仿宋"/>
          <w:b/>
          <w:bCs/>
          <w:sz w:val="34"/>
          <w:szCs w:val="34"/>
        </w:rPr>
        <w:t>坚持党的领导。</w:t>
      </w:r>
      <w:r>
        <w:rPr>
          <w:rFonts w:hint="eastAsia" w:ascii="仿宋" w:hAnsi="仿宋" w:eastAsia="仿宋" w:cs="仿宋"/>
          <w:sz w:val="34"/>
          <w:szCs w:val="34"/>
        </w:rPr>
        <w:t>侨务工作必须坚持党的领导，把牢正确方向，坚持服务宗旨，强化思想政治引领。用党的理论和路线方针政策，特别是党的十八大以来党中央治国理政的新理念新思想新战略引领广大华侨华人和港澳台同胞，最大限度把他们爱国爱乡的积极性调动起来，最大限度把他们促进改革开放和社会主义现代化建设的独特优势发挥出来，为实现中华民族伟大复兴中国梦贡献力量。</w:t>
      </w:r>
    </w:p>
    <w:p>
      <w:pPr>
        <w:adjustRightInd w:val="0"/>
        <w:snapToGrid w:val="0"/>
        <w:spacing w:line="600" w:lineRule="exact"/>
        <w:ind w:firstLine="682" w:firstLineChars="200"/>
        <w:rPr>
          <w:rFonts w:ascii="仿宋" w:hAnsi="仿宋" w:eastAsia="仿宋" w:cs="仿宋"/>
          <w:b/>
          <w:bCs/>
          <w:sz w:val="34"/>
          <w:szCs w:val="34"/>
        </w:rPr>
      </w:pPr>
      <w:r>
        <w:rPr>
          <w:rFonts w:hint="eastAsia" w:ascii="仿宋" w:hAnsi="仿宋" w:eastAsia="仿宋" w:cs="仿宋"/>
          <w:b/>
          <w:bCs/>
          <w:sz w:val="34"/>
          <w:szCs w:val="34"/>
        </w:rPr>
        <w:t>坚持四个对接。</w:t>
      </w:r>
      <w:r>
        <w:rPr>
          <w:rFonts w:hint="eastAsia" w:ascii="仿宋" w:hAnsi="仿宋" w:eastAsia="仿宋" w:cs="仿宋"/>
          <w:sz w:val="34"/>
          <w:szCs w:val="34"/>
        </w:rPr>
        <w:t>对接国家统战侨务工作新部署，服务国家总体大局；对接“一带一路”、粤港澳大湾区建设，服务国家战略；对接省侨务政策要求和工作安排，积极提升侨务工作质量水平；对接江门市委提出的“侨都赋能”工程，着力提升开平华侨华人文化交流、经贸合作、维护权益等功能，</w:t>
      </w:r>
      <w:r>
        <w:rPr>
          <w:rFonts w:hint="eastAsia" w:ascii="仿宋" w:hAnsi="仿宋" w:eastAsia="仿宋"/>
          <w:sz w:val="34"/>
          <w:szCs w:val="34"/>
          <w:lang w:val="en"/>
        </w:rPr>
        <w:t>深入实施“聚侨引智”行动，</w:t>
      </w:r>
      <w:r>
        <w:rPr>
          <w:rFonts w:hint="eastAsia" w:ascii="仿宋" w:hAnsi="仿宋" w:eastAsia="仿宋" w:cs="仿宋"/>
          <w:sz w:val="34"/>
          <w:szCs w:val="34"/>
        </w:rPr>
        <w:t>服务开平市委市政府中心工作。</w:t>
      </w:r>
    </w:p>
    <w:p>
      <w:pPr>
        <w:adjustRightInd w:val="0"/>
        <w:snapToGrid w:val="0"/>
        <w:spacing w:line="600" w:lineRule="exact"/>
        <w:ind w:firstLine="682" w:firstLineChars="200"/>
        <w:rPr>
          <w:rFonts w:ascii="仿宋" w:hAnsi="仿宋" w:eastAsia="仿宋" w:cs="仿宋"/>
          <w:b/>
          <w:bCs/>
          <w:sz w:val="34"/>
          <w:szCs w:val="34"/>
        </w:rPr>
      </w:pPr>
      <w:r>
        <w:rPr>
          <w:rFonts w:hint="eastAsia" w:ascii="仿宋" w:hAnsi="仿宋" w:eastAsia="仿宋" w:cs="仿宋"/>
          <w:b/>
          <w:bCs/>
          <w:sz w:val="34"/>
          <w:szCs w:val="34"/>
        </w:rPr>
        <w:t>坚持系统观念。</w:t>
      </w:r>
      <w:r>
        <w:rPr>
          <w:rFonts w:hint="eastAsia" w:ascii="仿宋" w:hAnsi="仿宋" w:eastAsia="仿宋" w:cs="仿宋"/>
          <w:sz w:val="34"/>
          <w:szCs w:val="34"/>
        </w:rPr>
        <w:t>强化全局意识，树立系统观念，加强前瞻性思考、全局性谋划、战略性布局、整体性推进，着力固根本、扬优势、补短板、强弱项，提升侨资源优势转化为侨动力的水平。</w:t>
      </w:r>
    </w:p>
    <w:p>
      <w:pPr>
        <w:adjustRightInd w:val="0"/>
        <w:snapToGrid w:val="0"/>
        <w:spacing w:line="600" w:lineRule="exact"/>
        <w:ind w:firstLine="682" w:firstLineChars="200"/>
        <w:rPr>
          <w:rFonts w:ascii="仿宋" w:hAnsi="仿宋" w:eastAsia="仿宋" w:cs="仿宋"/>
          <w:sz w:val="34"/>
          <w:szCs w:val="34"/>
        </w:rPr>
      </w:pPr>
      <w:r>
        <w:rPr>
          <w:rFonts w:hint="eastAsia" w:ascii="仿宋" w:hAnsi="仿宋" w:eastAsia="仿宋" w:cs="仿宋"/>
          <w:b/>
          <w:bCs/>
          <w:sz w:val="34"/>
          <w:szCs w:val="34"/>
        </w:rPr>
        <w:t>坚持创新引领。</w:t>
      </w:r>
      <w:r>
        <w:rPr>
          <w:rFonts w:hint="eastAsia" w:ascii="仿宋" w:hAnsi="仿宋" w:eastAsia="仿宋" w:cs="仿宋"/>
          <w:sz w:val="34"/>
          <w:szCs w:val="34"/>
        </w:rPr>
        <w:t>立足新发展阶段，贯彻新发展理念，构建新发展格局，围绕“十四五”侨务工作主题和侨情变化特点，强化改革创新，推动侨务工作重点领域和关键环节改革取得新突破，增强引领带动能力。</w:t>
      </w:r>
    </w:p>
    <w:p>
      <w:pPr>
        <w:adjustRightInd w:val="0"/>
        <w:snapToGrid w:val="0"/>
        <w:spacing w:line="600" w:lineRule="exact"/>
        <w:ind w:firstLine="682" w:firstLineChars="200"/>
        <w:rPr>
          <w:rFonts w:ascii="仿宋" w:hAnsi="仿宋" w:eastAsia="仿宋" w:cs="仿宋"/>
          <w:sz w:val="34"/>
          <w:szCs w:val="34"/>
        </w:rPr>
      </w:pPr>
      <w:r>
        <w:rPr>
          <w:rFonts w:hint="eastAsia" w:ascii="仿宋" w:hAnsi="仿宋" w:eastAsia="仿宋" w:cs="仿宋"/>
          <w:b/>
          <w:bCs/>
          <w:sz w:val="34"/>
          <w:szCs w:val="34"/>
        </w:rPr>
        <w:t>坚持合作共赢。</w:t>
      </w:r>
      <w:r>
        <w:rPr>
          <w:rFonts w:hint="eastAsia" w:ascii="仿宋" w:hAnsi="仿宋" w:eastAsia="仿宋" w:cs="仿宋"/>
          <w:sz w:val="34"/>
          <w:szCs w:val="34"/>
        </w:rPr>
        <w:t>坚持为侨服务，关注侨胞发展权益，完善为侨服务政策措施和工作体系，构建“共商共建共享”命运共同体，让发展成果更多惠及华侨华人，创造更好条件，重视解决重点难点问题，竭诚为侨服务。</w:t>
      </w:r>
    </w:p>
    <w:p>
      <w:pPr>
        <w:adjustRightInd w:val="0"/>
        <w:snapToGrid w:val="0"/>
        <w:spacing w:line="600" w:lineRule="exact"/>
        <w:ind w:firstLine="682" w:firstLineChars="200"/>
        <w:rPr>
          <w:rFonts w:ascii="仿宋" w:hAnsi="仿宋" w:eastAsia="仿宋" w:cs="仿宋"/>
          <w:sz w:val="34"/>
          <w:szCs w:val="34"/>
        </w:rPr>
      </w:pPr>
      <w:r>
        <w:rPr>
          <w:rFonts w:hint="eastAsia" w:ascii="仿宋" w:hAnsi="仿宋" w:eastAsia="仿宋" w:cs="仿宋"/>
          <w:b/>
          <w:bCs/>
          <w:sz w:val="34"/>
          <w:szCs w:val="34"/>
        </w:rPr>
        <w:t>坚持问题导向。</w:t>
      </w:r>
      <w:r>
        <w:rPr>
          <w:rFonts w:hint="eastAsia" w:ascii="仿宋" w:hAnsi="仿宋" w:eastAsia="仿宋" w:cs="仿宋"/>
          <w:sz w:val="34"/>
          <w:szCs w:val="34"/>
        </w:rPr>
        <w:t>以问题为导向，一切从实际出发，坚持具体问题具体分析，紧紧围绕我市侨务工作的重点任务和薄弱环节，展开深入研究，积极探索实践，创新方式办法，注重实效长效，不断适应新形势，推进新发展。</w:t>
      </w:r>
    </w:p>
    <w:p>
      <w:pPr>
        <w:pStyle w:val="4"/>
        <w:spacing w:line="600" w:lineRule="exact"/>
        <w:ind w:left="420"/>
        <w:rPr>
          <w:rFonts w:ascii="方正楷体_GBK" w:hAnsi="仿宋" w:eastAsia="方正楷体_GBK"/>
          <w:b w:val="0"/>
          <w:sz w:val="34"/>
          <w:szCs w:val="34"/>
        </w:rPr>
      </w:pPr>
      <w:bookmarkStart w:id="11" w:name="_Toc51797804"/>
      <w:bookmarkStart w:id="12" w:name="_Toc166226792"/>
      <w:r>
        <w:rPr>
          <w:rStyle w:val="32"/>
          <w:rFonts w:hint="eastAsia" w:ascii="方正楷体_GBK" w:hAnsi="仿宋" w:eastAsia="方正楷体_GBK"/>
          <w:b/>
          <w:bCs w:val="0"/>
          <w:sz w:val="34"/>
          <w:szCs w:val="34"/>
        </w:rPr>
        <w:t>（三）发展目标</w:t>
      </w:r>
      <w:bookmarkEnd w:id="11"/>
      <w:bookmarkEnd w:id="12"/>
    </w:p>
    <w:p>
      <w:pPr>
        <w:adjustRightInd w:val="0"/>
        <w:snapToGrid w:val="0"/>
        <w:spacing w:line="600" w:lineRule="exact"/>
        <w:ind w:firstLine="680" w:firstLineChars="200"/>
        <w:rPr>
          <w:rFonts w:ascii="仿宋" w:hAnsi="仿宋" w:eastAsia="仿宋" w:cs="仿宋"/>
          <w:sz w:val="34"/>
          <w:szCs w:val="34"/>
        </w:rPr>
      </w:pPr>
      <w:r>
        <w:rPr>
          <w:rFonts w:hint="eastAsia" w:ascii="仿宋" w:hAnsi="仿宋" w:eastAsia="仿宋" w:cs="仿宋"/>
          <w:sz w:val="34"/>
          <w:szCs w:val="34"/>
        </w:rPr>
        <w:t>“十四五”时期，以新时代侨务工作“三有利”原则为前提，以“侨务强市”建设为抓手，充分发挥开平侨资源优势，积极抓住国家“一带一路”战略和粤港澳大湾区建设机遇，以华侨华人文化交流合作为抓手，开拓侨务工作新天地。深入开展对外经济合作，推动形成全面开放新格局。构建的华侨华人文化交流合作、创新创业、公共法律服务、人才培养等国家平台支撑作用明显，侨文化保护活化、侨资源服务经济社会发展、侨务交流合作、侨务对外宣传、涉侨权益保护及服务保障等侨务工作实现高质量发展。固根筑梦引护并举，增强侨胞凝聚力。聚焦聚力品牌打造，以重点项目为牵引，高质量建设侨务强市，努力把开平建设成为向世界展示华侨华人文化交流成果重要窗口、世界文化遗产传承创新区、港澳及全球华侨华人青少年游学基地、华侨华人创新创业聚集区，助力我市经济社会高质量发展。</w:t>
      </w:r>
    </w:p>
    <w:p>
      <w:pPr>
        <w:adjustRightInd w:val="0"/>
        <w:snapToGrid w:val="0"/>
        <w:spacing w:line="600" w:lineRule="exact"/>
        <w:ind w:firstLine="680" w:firstLineChars="200"/>
        <w:rPr>
          <w:rFonts w:ascii="仿宋" w:hAnsi="仿宋" w:eastAsia="仿宋" w:cs="仿宋"/>
          <w:sz w:val="34"/>
          <w:szCs w:val="34"/>
        </w:rPr>
      </w:pPr>
      <w:r>
        <w:rPr>
          <w:rFonts w:hint="eastAsia" w:ascii="仿宋" w:hAnsi="仿宋" w:eastAsia="仿宋" w:cs="仿宋"/>
          <w:sz w:val="34"/>
          <w:szCs w:val="34"/>
        </w:rPr>
        <w:t>我市“十四五”时期侨务工作实现以下主要目标。</w:t>
      </w:r>
    </w:p>
    <w:p>
      <w:pPr>
        <w:adjustRightInd w:val="0"/>
        <w:snapToGrid w:val="0"/>
        <w:spacing w:line="600" w:lineRule="exact"/>
        <w:ind w:firstLine="682" w:firstLineChars="200"/>
        <w:rPr>
          <w:rFonts w:ascii="仿宋" w:hAnsi="仿宋" w:eastAsia="仿宋" w:cs="仿宋"/>
          <w:sz w:val="34"/>
          <w:szCs w:val="34"/>
        </w:rPr>
      </w:pPr>
      <w:r>
        <w:rPr>
          <w:rFonts w:hint="eastAsia" w:ascii="仿宋" w:hAnsi="仿宋" w:eastAsia="仿宋" w:cs="仿宋"/>
          <w:b/>
          <w:bCs/>
          <w:sz w:val="34"/>
          <w:szCs w:val="34"/>
        </w:rPr>
        <w:t>——开平城市品牌赋予新内涵。</w:t>
      </w:r>
      <w:r>
        <w:rPr>
          <w:rFonts w:hint="eastAsia" w:ascii="仿宋" w:hAnsi="仿宋" w:eastAsia="仿宋" w:cs="仿宋"/>
          <w:sz w:val="34"/>
          <w:szCs w:val="34"/>
        </w:rPr>
        <w:t>加强“开平</w:t>
      </w:r>
      <w:r>
        <w:rPr>
          <w:rFonts w:hint="eastAsia" w:ascii="仿宋" w:hAnsi="仿宋" w:eastAsia="仿宋" w:cs="仿宋"/>
          <w:sz w:val="34"/>
          <w:szCs w:val="34"/>
          <w:lang w:val="en-US" w:eastAsia="zh-CN"/>
        </w:rPr>
        <w:t>·</w:t>
      </w:r>
      <w:r>
        <w:rPr>
          <w:rFonts w:hint="eastAsia" w:ascii="仿宋" w:hAnsi="仿宋" w:eastAsia="仿宋" w:cs="仿宋"/>
          <w:sz w:val="34"/>
          <w:szCs w:val="34"/>
        </w:rPr>
        <w:t>世遗”“中国</w:t>
      </w:r>
      <w:r>
        <w:rPr>
          <w:rFonts w:hint="eastAsia" w:ascii="仿宋" w:hAnsi="仿宋" w:eastAsia="仿宋" w:cs="仿宋"/>
          <w:sz w:val="34"/>
          <w:szCs w:val="34"/>
          <w:lang w:val="en-US" w:eastAsia="zh-CN"/>
        </w:rPr>
        <w:t>·</w:t>
      </w:r>
      <w:r>
        <w:rPr>
          <w:rFonts w:hint="eastAsia" w:ascii="仿宋" w:hAnsi="仿宋" w:eastAsia="仿宋" w:cs="仿宋"/>
          <w:sz w:val="34"/>
          <w:szCs w:val="34"/>
        </w:rPr>
        <w:t>赤坎”等城市品牌传播，促进开平市城市知名度、美誉度、影响力进一步提升；城市品牌传播平台建设不断拓展，主题活动策划效果明显，城市名片特色鲜明，城市品牌创新发展，侨乡形象、侨韵侨味深入人心。</w:t>
      </w:r>
    </w:p>
    <w:p>
      <w:pPr>
        <w:adjustRightInd w:val="0"/>
        <w:snapToGrid w:val="0"/>
        <w:spacing w:line="600" w:lineRule="exact"/>
        <w:ind w:firstLine="682" w:firstLineChars="200"/>
        <w:rPr>
          <w:rFonts w:ascii="仿宋" w:hAnsi="仿宋" w:eastAsia="仿宋" w:cs="仿宋"/>
          <w:sz w:val="34"/>
          <w:szCs w:val="34"/>
        </w:rPr>
      </w:pPr>
      <w:r>
        <w:rPr>
          <w:rFonts w:hint="eastAsia" w:ascii="仿宋" w:hAnsi="仿宋" w:eastAsia="仿宋" w:cs="仿宋"/>
          <w:b/>
          <w:bCs/>
          <w:sz w:val="34"/>
          <w:szCs w:val="34"/>
        </w:rPr>
        <w:t>——侨资源转化为侨动力取得新成效。</w:t>
      </w:r>
      <w:r>
        <w:rPr>
          <w:rFonts w:hint="eastAsia" w:ascii="仿宋" w:hAnsi="仿宋" w:eastAsia="仿宋" w:cs="仿宋"/>
          <w:sz w:val="34"/>
          <w:szCs w:val="34"/>
        </w:rPr>
        <w:t>侨务资源在对外经济合作的带动作用不断增强，赤坎华侨古镇等重点项目取得突破性进展，带动效应显著提高；</w:t>
      </w:r>
      <w:r>
        <w:rPr>
          <w:rFonts w:hint="eastAsia" w:ascii="仿宋" w:hAnsi="仿宋" w:eastAsia="仿宋"/>
          <w:sz w:val="34"/>
          <w:szCs w:val="34"/>
        </w:rPr>
        <w:t xml:space="preserve"> “侨梦苑”开平分园、江门（塘口）江澳青年文创基地、侨小馆</w:t>
      </w:r>
      <w:r>
        <w:rPr>
          <w:rFonts w:hint="eastAsia" w:ascii="仿宋" w:hAnsi="仿宋" w:eastAsia="仿宋" w:cs="仿宋"/>
          <w:sz w:val="34"/>
          <w:szCs w:val="34"/>
        </w:rPr>
        <w:t>等平台和载体加快发展，支撑作用进一步发挥，文旅联动融合发展特色鲜明；开展便利华侨华人投资制度改革试点为全省作出示范，华侨华人投资兴业政策措施不断完善，形成市场化、法治化、国际化一流营商环境。引资引智引才不断拓展，海外企业家、高层次人才、留学人员回国回乡创新创业明显增加，侨资侨商侨企不断发展壮大，规模质量不断提升。</w:t>
      </w:r>
    </w:p>
    <w:p>
      <w:pPr>
        <w:adjustRightInd w:val="0"/>
        <w:snapToGrid w:val="0"/>
        <w:spacing w:line="600" w:lineRule="exact"/>
        <w:ind w:firstLine="682" w:firstLineChars="200"/>
        <w:rPr>
          <w:rFonts w:ascii="仿宋" w:hAnsi="仿宋" w:eastAsia="仿宋" w:cs="仿宋"/>
          <w:sz w:val="34"/>
          <w:szCs w:val="34"/>
        </w:rPr>
      </w:pPr>
      <w:r>
        <w:rPr>
          <w:rFonts w:hint="eastAsia" w:ascii="仿宋" w:hAnsi="仿宋" w:eastAsia="仿宋" w:cs="仿宋"/>
          <w:b/>
          <w:bCs/>
          <w:sz w:val="34"/>
          <w:szCs w:val="34"/>
        </w:rPr>
        <w:t>——对外</w:t>
      </w:r>
      <w:r>
        <w:rPr>
          <w:rFonts w:ascii="仿宋" w:hAnsi="仿宋" w:eastAsia="仿宋" w:cs="仿宋"/>
          <w:b/>
          <w:bCs/>
          <w:sz w:val="34"/>
          <w:szCs w:val="34"/>
        </w:rPr>
        <w:t>文化</w:t>
      </w:r>
      <w:r>
        <w:rPr>
          <w:rFonts w:hint="eastAsia" w:ascii="仿宋" w:hAnsi="仿宋" w:eastAsia="仿宋" w:cs="仿宋"/>
          <w:b/>
          <w:bCs/>
          <w:sz w:val="34"/>
          <w:szCs w:val="34"/>
        </w:rPr>
        <w:t>交流开拓新天地。</w:t>
      </w:r>
      <w:r>
        <w:rPr>
          <w:rFonts w:hint="eastAsia" w:ascii="仿宋" w:hAnsi="仿宋" w:eastAsia="仿宋" w:cs="仿宋"/>
          <w:sz w:val="34"/>
          <w:szCs w:val="34"/>
        </w:rPr>
        <w:t>加强与港澳旅游合作、文化交流，举办世界文化遗产嘉年华系列活动，</w:t>
      </w:r>
      <w:r>
        <w:rPr>
          <w:rFonts w:hint="eastAsia" w:ascii="仿宋" w:hAnsi="仿宋" w:eastAsia="仿宋" w:cs="仿宋"/>
          <w:sz w:val="34"/>
          <w:szCs w:val="34"/>
          <w:lang w:val="zh-CN"/>
        </w:rPr>
        <w:t>高标准建设赤坎华侨古镇，办好华侨华人粤港澳大湾区大会，</w:t>
      </w:r>
      <w:r>
        <w:rPr>
          <w:rFonts w:hint="eastAsia" w:ascii="仿宋" w:hAnsi="仿宋" w:eastAsia="仿宋" w:cs="仿宋"/>
          <w:sz w:val="34"/>
          <w:szCs w:val="34"/>
        </w:rPr>
        <w:t>在全国的影响力不断提升；侨乡文化生态保护区建设成效明显；</w:t>
      </w:r>
      <w:r>
        <w:rPr>
          <w:rFonts w:hint="eastAsia" w:ascii="仿宋" w:hAnsi="仿宋" w:eastAsia="仿宋"/>
          <w:sz w:val="34"/>
          <w:szCs w:val="34"/>
        </w:rPr>
        <w:t>仓东遗产教育基地</w:t>
      </w:r>
      <w:r>
        <w:rPr>
          <w:rFonts w:hint="eastAsia" w:ascii="仿宋" w:hAnsi="仿宋" w:eastAsia="仿宋" w:cs="仿宋"/>
          <w:sz w:val="34"/>
          <w:szCs w:val="34"/>
          <w:lang w:val="zh-CN"/>
        </w:rPr>
        <w:t>、塘口空间、蚬冈“侨心馆”等</w:t>
      </w:r>
      <w:r>
        <w:rPr>
          <w:rFonts w:hint="eastAsia" w:ascii="仿宋" w:hAnsi="仿宋" w:eastAsia="仿宋" w:cs="仿宋"/>
          <w:sz w:val="34"/>
          <w:szCs w:val="34"/>
        </w:rPr>
        <w:t>以“侨”为特色文化寻根、研学旅游活动深入开展，司徒美堂故居</w:t>
      </w:r>
      <w:r>
        <w:rPr>
          <w:rFonts w:hint="eastAsia" w:ascii="仿宋" w:hAnsi="仿宋" w:eastAsia="仿宋" w:cs="仿宋"/>
          <w:sz w:val="34"/>
          <w:szCs w:val="34"/>
          <w:lang w:val="zh-CN"/>
        </w:rPr>
        <w:t>、余氏风釆堂、红线女故居、陈荣捷故居等华侨文化资源节点建设成效显著，侨文化保护及活化取得突破性进展；</w:t>
      </w:r>
      <w:r>
        <w:rPr>
          <w:rFonts w:hint="eastAsia" w:ascii="仿宋" w:hAnsi="仿宋" w:eastAsia="仿宋" w:cs="仿宋"/>
          <w:sz w:val="34"/>
          <w:szCs w:val="34"/>
        </w:rPr>
        <w:t>友好城市规模进一步扩大，多元文化进一步融合，</w:t>
      </w:r>
      <w:r>
        <w:rPr>
          <w:rFonts w:ascii="仿宋" w:hAnsi="仿宋" w:eastAsia="仿宋" w:cs="仿宋"/>
          <w:sz w:val="34"/>
          <w:szCs w:val="34"/>
        </w:rPr>
        <w:t>人文交流水</w:t>
      </w:r>
      <w:r>
        <w:rPr>
          <w:rFonts w:hint="eastAsia" w:ascii="仿宋" w:hAnsi="仿宋" w:eastAsia="仿宋" w:cs="仿宋"/>
          <w:sz w:val="34"/>
          <w:szCs w:val="34"/>
        </w:rPr>
        <w:t>平不断</w:t>
      </w:r>
      <w:r>
        <w:rPr>
          <w:rFonts w:ascii="仿宋" w:hAnsi="仿宋" w:eastAsia="仿宋" w:cs="仿宋"/>
          <w:sz w:val="34"/>
          <w:szCs w:val="34"/>
        </w:rPr>
        <w:t>提高</w:t>
      </w:r>
      <w:r>
        <w:rPr>
          <w:rFonts w:hint="eastAsia" w:ascii="仿宋" w:hAnsi="仿宋" w:eastAsia="仿宋" w:cs="仿宋"/>
          <w:sz w:val="34"/>
          <w:szCs w:val="34"/>
        </w:rPr>
        <w:t>，侨乡文化影响更加广泛深入，品牌文化活动亮点突出，侨胞凝聚力进一步增强。</w:t>
      </w:r>
    </w:p>
    <w:p>
      <w:pPr>
        <w:adjustRightInd w:val="0"/>
        <w:snapToGrid w:val="0"/>
        <w:spacing w:line="600" w:lineRule="exact"/>
        <w:ind w:firstLine="682" w:firstLineChars="200"/>
        <w:rPr>
          <w:rFonts w:ascii="仿宋" w:hAnsi="仿宋" w:eastAsia="仿宋" w:cs="仿宋"/>
          <w:sz w:val="34"/>
          <w:szCs w:val="34"/>
        </w:rPr>
      </w:pPr>
      <w:r>
        <w:rPr>
          <w:rFonts w:hint="eastAsia" w:ascii="仿宋" w:hAnsi="仿宋" w:eastAsia="仿宋" w:cs="仿宋"/>
          <w:b/>
          <w:bCs/>
          <w:sz w:val="34"/>
          <w:szCs w:val="34"/>
        </w:rPr>
        <w:t>——侨务干部队伍建设取得新进展。</w:t>
      </w:r>
      <w:r>
        <w:rPr>
          <w:rFonts w:hint="eastAsia" w:ascii="仿宋" w:hAnsi="仿宋" w:eastAsia="仿宋" w:cs="仿宋"/>
          <w:sz w:val="34"/>
          <w:szCs w:val="34"/>
        </w:rPr>
        <w:t>市</w:t>
      </w:r>
      <w:r>
        <w:rPr>
          <w:rFonts w:hint="eastAsia" w:ascii="仿宋" w:hAnsi="仿宋" w:eastAsia="仿宋" w:cs="仿宋"/>
          <w:sz w:val="34"/>
          <w:szCs w:val="34"/>
          <w:lang w:eastAsia="zh-CN"/>
        </w:rPr>
        <w:t>、</w:t>
      </w:r>
      <w:r>
        <w:rPr>
          <w:rFonts w:hint="eastAsia" w:ascii="仿宋" w:hAnsi="仿宋" w:eastAsia="仿宋" w:cs="仿宋"/>
          <w:sz w:val="34"/>
          <w:szCs w:val="34"/>
        </w:rPr>
        <w:t>镇（街道）</w:t>
      </w:r>
      <w:r>
        <w:rPr>
          <w:rFonts w:hint="eastAsia" w:ascii="仿宋" w:hAnsi="仿宋" w:eastAsia="仿宋" w:cs="仿宋"/>
          <w:sz w:val="34"/>
          <w:szCs w:val="34"/>
          <w:lang w:eastAsia="zh-CN"/>
        </w:rPr>
        <w:t>、</w:t>
      </w:r>
      <w:r>
        <w:rPr>
          <w:rFonts w:hint="eastAsia" w:ascii="仿宋" w:hAnsi="仿宋" w:eastAsia="仿宋" w:cs="仿宋"/>
          <w:sz w:val="34"/>
          <w:szCs w:val="34"/>
        </w:rPr>
        <w:t>村三级侨务工作架构进一步完善，侨务组织、人员、经费进一步加强，组织健全、运行高效、方式创新、服务全面的侨务工作新机制基本形成，知侨、懂侨、爱侨，让党放心、让侨胞满意的“贴心人”“实干家”的侨务干部队伍建设取得新成绩。</w:t>
      </w:r>
    </w:p>
    <w:p>
      <w:pPr>
        <w:adjustRightInd w:val="0"/>
        <w:snapToGrid w:val="0"/>
        <w:spacing w:line="600" w:lineRule="exact"/>
        <w:ind w:firstLine="682" w:firstLineChars="200"/>
        <w:rPr>
          <w:rFonts w:ascii="仿宋" w:hAnsi="仿宋" w:eastAsia="仿宋"/>
          <w:b/>
          <w:bCs/>
          <w:sz w:val="34"/>
          <w:szCs w:val="34"/>
        </w:rPr>
      </w:pPr>
      <w:r>
        <w:rPr>
          <w:rFonts w:hint="eastAsia" w:ascii="仿宋" w:hAnsi="仿宋" w:eastAsia="仿宋"/>
          <w:b/>
          <w:sz w:val="34"/>
          <w:szCs w:val="34"/>
        </w:rPr>
        <w:t>——为侨服务质量水平迈上新台阶。</w:t>
      </w:r>
      <w:r>
        <w:rPr>
          <w:rFonts w:hint="eastAsia" w:ascii="仿宋" w:hAnsi="仿宋" w:eastAsia="仿宋"/>
          <w:sz w:val="34"/>
          <w:szCs w:val="34"/>
        </w:rPr>
        <w:t>依托开平市华侨华人港澳台同胞综合服务中心，为侨公共服务体系、内容、工作机制不断完善，服务功能显著增强。依托开平市公共法律服务中心设立华侨华人、港澳台同胞公共法律中心，为华侨华人提供全方位的法律服务。深化“N+侨”服务模式，发挥“检+侨”“法+侨”“司+侨”“税+侨”“教+侨”等部门联动作用，在政策法律、涉侨事务、侨界民生和事业发展等为侨公共服务供给的能力和水平不断提升。</w:t>
      </w:r>
    </w:p>
    <w:p>
      <w:pPr>
        <w:pStyle w:val="3"/>
        <w:spacing w:line="600" w:lineRule="exact"/>
        <w:ind w:left="420"/>
        <w:rPr>
          <w:rFonts w:ascii="黑体" w:hAnsi="黑体"/>
          <w:sz w:val="34"/>
          <w:szCs w:val="34"/>
        </w:rPr>
      </w:pPr>
      <w:bookmarkStart w:id="13" w:name="_Toc166226793"/>
      <w:r>
        <w:rPr>
          <w:rFonts w:hint="eastAsia" w:ascii="黑体" w:hAnsi="黑体"/>
          <w:sz w:val="34"/>
          <w:szCs w:val="34"/>
        </w:rPr>
        <w:t>三、整合利用文化资源，全力打造侨务工作新平台</w:t>
      </w:r>
      <w:bookmarkEnd w:id="13"/>
    </w:p>
    <w:p>
      <w:pPr>
        <w:adjustRightInd w:val="0"/>
        <w:snapToGrid w:val="0"/>
        <w:spacing w:line="600" w:lineRule="exact"/>
        <w:ind w:firstLine="680" w:firstLineChars="200"/>
        <w:rPr>
          <w:rFonts w:ascii="仿宋" w:hAnsi="仿宋" w:eastAsia="仿宋"/>
          <w:sz w:val="34"/>
          <w:szCs w:val="34"/>
        </w:rPr>
      </w:pPr>
      <w:r>
        <w:rPr>
          <w:rFonts w:hint="eastAsia" w:ascii="仿宋" w:hAnsi="仿宋" w:eastAsia="仿宋"/>
          <w:sz w:val="34"/>
          <w:szCs w:val="34"/>
        </w:rPr>
        <w:t>高标准推进赤坎华侨古镇、侨乡文化研学旅行教育基地、侨乡文化生态保护区等项目建设，不断提升华侨华人文化交流合作重要平台影响力，促进华侨华人青少年文化交流。</w:t>
      </w:r>
    </w:p>
    <w:p>
      <w:pPr>
        <w:pStyle w:val="4"/>
        <w:spacing w:line="600" w:lineRule="exact"/>
        <w:ind w:left="420"/>
        <w:rPr>
          <w:rFonts w:ascii="方正楷体_GBK" w:hAnsi="仿宋" w:eastAsia="方正楷体_GBK"/>
          <w:sz w:val="34"/>
          <w:szCs w:val="34"/>
        </w:rPr>
      </w:pPr>
      <w:bookmarkStart w:id="14" w:name="_Toc166226794"/>
      <w:r>
        <w:rPr>
          <w:rFonts w:hint="eastAsia" w:ascii="方正楷体_GBK" w:hAnsi="仿宋" w:eastAsia="方正楷体_GBK"/>
          <w:sz w:val="34"/>
          <w:szCs w:val="34"/>
        </w:rPr>
        <w:t>（一）打造文化交流合作新平台</w:t>
      </w:r>
      <w:bookmarkEnd w:id="14"/>
    </w:p>
    <w:p>
      <w:pPr>
        <w:adjustRightInd w:val="0"/>
        <w:snapToGrid w:val="0"/>
        <w:spacing w:line="600" w:lineRule="exact"/>
        <w:ind w:firstLine="682" w:firstLineChars="200"/>
        <w:rPr>
          <w:rFonts w:ascii="仿宋" w:hAnsi="仿宋" w:eastAsia="仿宋" w:cs="Times New Roman"/>
          <w:sz w:val="34"/>
          <w:szCs w:val="34"/>
        </w:rPr>
      </w:pPr>
      <w:r>
        <w:rPr>
          <w:rFonts w:hint="eastAsia" w:ascii="仿宋" w:hAnsi="仿宋" w:eastAsia="仿宋" w:cs="Times New Roman"/>
          <w:b/>
          <w:bCs/>
          <w:sz w:val="34"/>
          <w:szCs w:val="34"/>
        </w:rPr>
        <w:t>打造赤坎华侨古镇项目。</w:t>
      </w:r>
      <w:r>
        <w:rPr>
          <w:rFonts w:hint="eastAsia" w:ascii="仿宋" w:hAnsi="仿宋" w:eastAsia="仿宋" w:cs="Times New Roman"/>
          <w:sz w:val="34"/>
          <w:szCs w:val="34"/>
        </w:rPr>
        <w:t>高标准推进赤坎华侨古镇项目建设，修缮保护、活化利用全国规模最大、保存最完整的侨乡骑楼建筑群，挖掘每座碉楼背后的感人故事，打造中华优秀传统文化新载体、粤港澳大湾区文旅新地标。用好世界文化遗产“开平碉楼与村落”、赤坎华侨古镇等文化资源，加强与港澳旅游合作、文化交流，打造华侨华人文化交流合作重大平台。</w:t>
      </w:r>
    </w:p>
    <w:p>
      <w:pPr>
        <w:widowControl/>
        <w:adjustRightInd w:val="0"/>
        <w:snapToGrid w:val="0"/>
        <w:spacing w:line="600" w:lineRule="exact"/>
        <w:ind w:firstLine="682" w:firstLineChars="200"/>
        <w:jc w:val="left"/>
        <w:rPr>
          <w:rFonts w:ascii="仿宋" w:hAnsi="仿宋" w:eastAsia="仿宋" w:cs="楷体_GB2312"/>
          <w:sz w:val="34"/>
          <w:szCs w:val="34"/>
        </w:rPr>
      </w:pPr>
      <w:r>
        <w:rPr>
          <w:rFonts w:hint="eastAsia" w:ascii="仿宋" w:hAnsi="仿宋" w:eastAsia="仿宋"/>
          <w:b/>
          <w:sz w:val="34"/>
          <w:szCs w:val="34"/>
        </w:rPr>
        <w:t>做好综合服务平台建设。</w:t>
      </w:r>
      <w:r>
        <w:rPr>
          <w:rFonts w:hint="eastAsia" w:ascii="仿宋" w:hAnsi="仿宋" w:eastAsia="仿宋" w:cs="Times New Roman"/>
          <w:sz w:val="34"/>
          <w:szCs w:val="34"/>
        </w:rPr>
        <w:t>做好</w:t>
      </w:r>
      <w:r>
        <w:rPr>
          <w:rFonts w:ascii="仿宋" w:hAnsi="仿宋" w:eastAsia="仿宋" w:cs="方正仿宋_GBK"/>
          <w:kern w:val="0"/>
          <w:sz w:val="34"/>
          <w:szCs w:val="34"/>
          <w:lang w:bidi="ar"/>
        </w:rPr>
        <w:t>“网上联侨</w:t>
      </w:r>
      <w:r>
        <w:rPr>
          <w:rFonts w:hint="eastAsia" w:ascii="微软雅黑" w:hAnsi="微软雅黑" w:eastAsia="微软雅黑" w:cs="微软雅黑"/>
          <w:kern w:val="0"/>
          <w:sz w:val="34"/>
          <w:szCs w:val="34"/>
          <w:lang w:bidi="ar"/>
        </w:rPr>
        <w:t>•</w:t>
      </w:r>
      <w:r>
        <w:rPr>
          <w:rFonts w:hint="eastAsia" w:ascii="仿宋" w:hAnsi="仿宋" w:eastAsia="仿宋" w:cs="方正仿宋_GBK"/>
          <w:kern w:val="0"/>
          <w:sz w:val="34"/>
          <w:szCs w:val="34"/>
          <w:lang w:bidi="ar"/>
        </w:rPr>
        <w:t>云端聚侨”等活动</w:t>
      </w:r>
      <w:r>
        <w:rPr>
          <w:rFonts w:hint="eastAsia" w:ascii="仿宋" w:hAnsi="仿宋" w:eastAsia="仿宋" w:cs="方正仿宋_GBK"/>
          <w:kern w:val="0"/>
          <w:sz w:val="34"/>
          <w:szCs w:val="34"/>
          <w:lang w:eastAsia="zh-CN" w:bidi="ar"/>
        </w:rPr>
        <w:t>，</w:t>
      </w:r>
      <w:r>
        <w:rPr>
          <w:rFonts w:hint="eastAsia" w:ascii="仿宋" w:hAnsi="仿宋" w:eastAsia="仿宋" w:cs="楷体_GB2312"/>
          <w:sz w:val="34"/>
          <w:szCs w:val="34"/>
        </w:rPr>
        <w:t>开展寻根谒祖、宗亲联谊交流</w:t>
      </w:r>
      <w:r>
        <w:rPr>
          <w:rFonts w:hint="eastAsia" w:ascii="仿宋" w:hAnsi="仿宋" w:eastAsia="仿宋" w:cs="方正仿宋_GBK"/>
          <w:kern w:val="0"/>
          <w:sz w:val="34"/>
          <w:szCs w:val="34"/>
          <w:lang w:bidi="ar"/>
        </w:rPr>
        <w:t>。谋划建设“数智侨务”应用，依托粤港澳大湾区区位优势和侨乡资源，推动数智侨情、政务服务、双创服务、社会服务等四大模块的综合集成，绘制基本侨情图，可视化展现开平基本侨情概况，实现“侨团组群、侨领带群、干部驻群、服务进群”的为侨服务新模式。</w:t>
      </w:r>
    </w:p>
    <w:p>
      <w:pPr>
        <w:adjustRightInd w:val="0"/>
        <w:snapToGrid w:val="0"/>
        <w:spacing w:line="600" w:lineRule="exact"/>
        <w:ind w:firstLine="682" w:firstLineChars="200"/>
        <w:rPr>
          <w:rFonts w:ascii="仿宋" w:hAnsi="仿宋" w:eastAsia="仿宋"/>
          <w:sz w:val="34"/>
          <w:szCs w:val="34"/>
        </w:rPr>
      </w:pPr>
      <w:r>
        <w:rPr>
          <w:rFonts w:hint="eastAsia" w:ascii="仿宋" w:hAnsi="仿宋" w:eastAsia="仿宋"/>
          <w:b/>
          <w:sz w:val="34"/>
          <w:szCs w:val="34"/>
        </w:rPr>
        <w:t>推动侨乡文化研学旅行教育基地建设。</w:t>
      </w:r>
      <w:r>
        <w:rPr>
          <w:rFonts w:hint="eastAsia" w:ascii="仿宋" w:hAnsi="仿宋" w:eastAsia="仿宋"/>
          <w:sz w:val="34"/>
          <w:szCs w:val="34"/>
        </w:rPr>
        <w:t>针对华侨新生代，积极构建侨乡文化研学旅行教育基地，以研学为桥梁，吸引更多华侨华人参与到家乡的文化交流活动。联合举办品牌青少年华侨华人夏令营、寻根团等文化交流活动。</w:t>
      </w:r>
      <w:r>
        <w:rPr>
          <w:rFonts w:hint="eastAsia" w:ascii="仿宋" w:hAnsi="仿宋" w:eastAsia="仿宋"/>
          <w:sz w:val="34"/>
          <w:szCs w:val="34"/>
          <w:lang w:eastAsia="zh-CN"/>
        </w:rPr>
        <w:t>整合与发挥各镇（街）侨务资源优势，谋划侨文化精品路线，着力打造开平“侨”文旅城市品牌。</w:t>
      </w:r>
      <w:r>
        <w:rPr>
          <w:rFonts w:hint="eastAsia" w:ascii="仿宋" w:hAnsi="仿宋" w:eastAsia="仿宋" w:cs="Times New Roman"/>
          <w:sz w:val="34"/>
          <w:szCs w:val="34"/>
        </w:rPr>
        <w:t>加强江门（塘口）江澳青年文创基地等粤港澳大湾区重点文化产业园区建设，联动广深港珠澳优质旅游资源，推出以岭南文化、华侨文化为特色并融合港澳元素的“一程多站”精品旅游线路，助力粤港澳大湾区文化创意产业高质量发展。</w:t>
      </w:r>
    </w:p>
    <w:p>
      <w:pPr>
        <w:adjustRightInd w:val="0"/>
        <w:snapToGrid w:val="0"/>
        <w:spacing w:line="600" w:lineRule="exact"/>
        <w:ind w:firstLine="682" w:firstLineChars="200"/>
        <w:rPr>
          <w:rFonts w:ascii="仿宋" w:hAnsi="仿宋" w:eastAsia="仿宋" w:cs="Times New Roman"/>
          <w:sz w:val="34"/>
          <w:szCs w:val="34"/>
        </w:rPr>
      </w:pPr>
      <w:r>
        <w:rPr>
          <w:rFonts w:hint="eastAsia" w:ascii="仿宋" w:hAnsi="仿宋" w:eastAsia="仿宋" w:cs="Times New Roman"/>
          <w:b/>
          <w:bCs/>
          <w:sz w:val="34"/>
          <w:szCs w:val="34"/>
        </w:rPr>
        <w:t>促进华侨华人青少年文化交流。</w:t>
      </w:r>
      <w:r>
        <w:rPr>
          <w:rFonts w:hint="eastAsia" w:ascii="仿宋" w:hAnsi="仿宋" w:eastAsia="仿宋" w:cs="Times New Roman"/>
          <w:sz w:val="34"/>
          <w:szCs w:val="34"/>
        </w:rPr>
        <w:t>依托仓东遗产教育基地等平台，以研学旅行、寻根团等形式，开展多种形式的游学活动，推动华侨华人青年互动常态化，加强与港澳、海外等地区联动，拓展“优游”朋友圈。创建江门市中美青少年文化交流基地、省级港澳台侨学生研学基地。协助打造“中华文化大乐园”“亲情中华”等品牌。</w:t>
      </w:r>
      <w:r>
        <w:rPr>
          <w:rFonts w:hint="eastAsia" w:ascii="仿宋" w:hAnsi="仿宋" w:eastAsia="仿宋" w:cs="Times New Roman"/>
          <w:bCs/>
          <w:sz w:val="34"/>
          <w:szCs w:val="34"/>
        </w:rPr>
        <w:t>针对华侨群体，引导国内外社团回乡举行恳亲活动。鼓励国内外社团回乡举行恳亲活动，举办周濂溪周氏大型恳亲活动、风采堂余氏</w:t>
      </w:r>
      <w:r>
        <w:rPr>
          <w:rFonts w:ascii="仿宋" w:hAnsi="仿宋" w:eastAsia="仿宋" w:cs="仿宋_GB2312"/>
          <w:kern w:val="28"/>
          <w:sz w:val="34"/>
          <w:szCs w:val="34"/>
        </w:rPr>
        <w:t>谒</w:t>
      </w:r>
      <w:r>
        <w:rPr>
          <w:rFonts w:hint="eastAsia" w:ascii="仿宋" w:hAnsi="仿宋" w:eastAsia="仿宋" w:cs="Times New Roman"/>
          <w:bCs/>
          <w:sz w:val="34"/>
          <w:szCs w:val="34"/>
        </w:rPr>
        <w:t>祖活动、护龙邓氏恳亲活动等宗族交流活动。</w:t>
      </w:r>
    </w:p>
    <w:p>
      <w:pPr>
        <w:pStyle w:val="4"/>
        <w:spacing w:line="600" w:lineRule="exact"/>
        <w:ind w:left="420"/>
        <w:rPr>
          <w:rFonts w:ascii="方正楷体_GBK" w:hAnsi="仿宋" w:eastAsia="方正楷体_GBK"/>
          <w:sz w:val="34"/>
          <w:szCs w:val="34"/>
        </w:rPr>
      </w:pPr>
      <w:bookmarkStart w:id="15" w:name="_Toc166226795"/>
      <w:r>
        <w:rPr>
          <w:rFonts w:hint="eastAsia" w:ascii="方正楷体_GBK" w:hAnsi="仿宋" w:eastAsia="方正楷体_GBK"/>
          <w:sz w:val="34"/>
          <w:szCs w:val="34"/>
        </w:rPr>
        <w:t>（二）建好侨乡文化生态保护区</w:t>
      </w:r>
      <w:bookmarkEnd w:id="15"/>
    </w:p>
    <w:p>
      <w:pPr>
        <w:adjustRightInd w:val="0"/>
        <w:snapToGrid w:val="0"/>
        <w:spacing w:line="600" w:lineRule="exact"/>
        <w:ind w:firstLine="682" w:firstLineChars="200"/>
        <w:rPr>
          <w:rFonts w:ascii="仿宋" w:hAnsi="仿宋" w:eastAsia="仿宋"/>
          <w:sz w:val="34"/>
          <w:szCs w:val="34"/>
        </w:rPr>
      </w:pPr>
      <w:r>
        <w:rPr>
          <w:rFonts w:hint="eastAsia" w:ascii="仿宋" w:hAnsi="仿宋" w:eastAsia="仿宋"/>
          <w:b/>
          <w:sz w:val="34"/>
          <w:szCs w:val="34"/>
        </w:rPr>
        <w:t>做好侨墟侨镇侨村保护。</w:t>
      </w:r>
      <w:r>
        <w:rPr>
          <w:rFonts w:hint="eastAsia" w:ascii="仿宋" w:hAnsi="仿宋" w:eastAsia="仿宋"/>
          <w:sz w:val="34"/>
          <w:szCs w:val="34"/>
        </w:rPr>
        <w:t>做好世界文化遗产“开平碉楼与村落”、赤坎华侨古镇近代华侨建筑群以及大量的侨墟侨镇遗存的保护工作，整体保护华侨华人世界遗产、民俗风情、历史文化以及所依存的自然、经济、文化环境。加快推进世界文化遗产数字化中心建设，做好世界文化遗产及文物数字化保存工作。继续培育一批历史文化名村、名街区、名建筑，对已经挂牌的项目加强指导，鼓励引入社会资源活化利用。</w:t>
      </w:r>
    </w:p>
    <w:p>
      <w:pPr>
        <w:adjustRightInd w:val="0"/>
        <w:snapToGrid w:val="0"/>
        <w:spacing w:line="600" w:lineRule="exact"/>
        <w:ind w:firstLine="682" w:firstLineChars="200"/>
        <w:rPr>
          <w:rFonts w:ascii="仿宋" w:hAnsi="仿宋" w:eastAsia="仿宋"/>
          <w:sz w:val="34"/>
          <w:szCs w:val="34"/>
        </w:rPr>
      </w:pPr>
      <w:r>
        <w:rPr>
          <w:rFonts w:hint="eastAsia" w:ascii="仿宋" w:hAnsi="仿宋" w:eastAsia="仿宋"/>
          <w:b/>
          <w:sz w:val="34"/>
          <w:szCs w:val="34"/>
        </w:rPr>
        <w:t>用活非遗项目中的侨元素。</w:t>
      </w:r>
      <w:r>
        <w:rPr>
          <w:rFonts w:hint="eastAsia" w:ascii="仿宋" w:hAnsi="仿宋" w:eastAsia="仿宋"/>
          <w:sz w:val="34"/>
          <w:szCs w:val="34"/>
        </w:rPr>
        <w:t>以侨乡非物质文化遗产保护为重点，积极开展非遗项目推荐，大力宣传粤剧、龙舟、舞龙舞狮、广东音乐</w:t>
      </w:r>
      <w:r>
        <w:rPr>
          <w:rFonts w:hint="eastAsia" w:ascii="仿宋" w:hAnsi="仿宋" w:eastAsia="仿宋"/>
          <w:sz w:val="34"/>
          <w:szCs w:val="34"/>
          <w:lang w:eastAsia="zh-CN"/>
        </w:rPr>
        <w:t>、泮村灯舞、镇濠泥鸡</w:t>
      </w:r>
      <w:r>
        <w:rPr>
          <w:rFonts w:hint="eastAsia" w:ascii="仿宋" w:hAnsi="仿宋" w:eastAsia="仿宋"/>
          <w:sz w:val="34"/>
          <w:szCs w:val="34"/>
        </w:rPr>
        <w:t>等具有海外影响力的非遗项目与民俗活动，吸引海外华侨华人与国内民众参与。借助海外侨团的活动，灵活机动举办融合传承人技艺和非遗作品的侨文化活动。</w:t>
      </w:r>
    </w:p>
    <w:p>
      <w:pPr>
        <w:pStyle w:val="4"/>
        <w:spacing w:line="600" w:lineRule="exact"/>
        <w:ind w:left="420"/>
        <w:rPr>
          <w:rFonts w:ascii="方正楷体_GBK" w:hAnsi="仿宋" w:eastAsia="方正楷体_GBK"/>
          <w:sz w:val="34"/>
          <w:szCs w:val="34"/>
        </w:rPr>
      </w:pPr>
      <w:bookmarkStart w:id="16" w:name="_Toc166226796"/>
      <w:r>
        <w:rPr>
          <w:rFonts w:hint="eastAsia" w:ascii="方正楷体_GBK" w:hAnsi="仿宋" w:eastAsia="方正楷体_GBK"/>
          <w:sz w:val="34"/>
          <w:szCs w:val="34"/>
        </w:rPr>
        <w:t>（三）做强开平华侨文化新品牌</w:t>
      </w:r>
      <w:bookmarkEnd w:id="16"/>
    </w:p>
    <w:p>
      <w:pPr>
        <w:adjustRightInd w:val="0"/>
        <w:snapToGrid w:val="0"/>
        <w:spacing w:line="600" w:lineRule="exact"/>
        <w:ind w:firstLine="682" w:firstLineChars="200"/>
        <w:rPr>
          <w:rFonts w:ascii="仿宋" w:hAnsi="仿宋" w:eastAsia="仿宋"/>
          <w:b/>
          <w:sz w:val="34"/>
          <w:szCs w:val="34"/>
        </w:rPr>
      </w:pPr>
      <w:r>
        <w:rPr>
          <w:rFonts w:hint="eastAsia" w:ascii="仿宋" w:hAnsi="仿宋" w:eastAsia="仿宋"/>
          <w:b/>
          <w:sz w:val="34"/>
          <w:szCs w:val="34"/>
        </w:rPr>
        <w:t>做好华侨文化保护和展示。</w:t>
      </w:r>
      <w:r>
        <w:rPr>
          <w:rFonts w:hint="eastAsia" w:ascii="仿宋" w:hAnsi="仿宋" w:eastAsia="仿宋"/>
          <w:sz w:val="34"/>
          <w:szCs w:val="34"/>
        </w:rPr>
        <w:t>依托开平华侨博物馆做好华侨文物收藏，办好有影响力的展览。加强对司徒美堂、红线女等名人文化研究以及名人故（旧）居的修缮保护和展示利用。发挥司徒美堂、红线女两个代表性人物影响力，不断加强与海外的文化交流。利用陈荣捷故居活化项目，打造中国传统哲学文化西传，中西方文明互鉴平台，展示陈荣捷对传达中西方文化交流的贡献。挖掘侨乡古村、古镇以及各个专题、主题的华侨文化资源，结合侨乡红色故事，</w:t>
      </w:r>
      <w:r>
        <w:rPr>
          <w:rFonts w:hint="eastAsia" w:ascii="仿宋" w:hAnsi="仿宋" w:eastAsia="仿宋" w:cstheme="majorBidi"/>
          <w:bCs/>
          <w:sz w:val="34"/>
          <w:szCs w:val="34"/>
        </w:rPr>
        <w:t>利用银信（侨批）等世界记忆遗产，讲好华侨华人海外奋斗史。</w:t>
      </w:r>
      <w:r>
        <w:rPr>
          <w:rFonts w:hint="eastAsia" w:ascii="仿宋" w:hAnsi="仿宋" w:eastAsia="仿宋"/>
          <w:sz w:val="34"/>
          <w:szCs w:val="34"/>
        </w:rPr>
        <w:t>丰富华人华侨文化内涵，进一步活化侨乡建筑历史文化街区，建设更多的华人华侨文化交流的平台、载体。</w:t>
      </w:r>
    </w:p>
    <w:p>
      <w:pPr>
        <w:adjustRightInd w:val="0"/>
        <w:snapToGrid w:val="0"/>
        <w:spacing w:line="600" w:lineRule="exact"/>
        <w:ind w:firstLine="682" w:firstLineChars="200"/>
        <w:rPr>
          <w:rFonts w:ascii="仿宋" w:hAnsi="仿宋" w:eastAsia="仿宋"/>
          <w:sz w:val="34"/>
          <w:szCs w:val="34"/>
        </w:rPr>
      </w:pPr>
      <w:r>
        <w:rPr>
          <w:rFonts w:hint="eastAsia" w:ascii="仿宋" w:hAnsi="仿宋" w:eastAsia="仿宋"/>
          <w:b/>
          <w:sz w:val="34"/>
          <w:szCs w:val="34"/>
        </w:rPr>
        <w:t>挖掘开平美食资源。</w:t>
      </w:r>
      <w:r>
        <w:rPr>
          <w:rFonts w:hint="eastAsia" w:ascii="仿宋" w:hAnsi="仿宋" w:eastAsia="仿宋"/>
          <w:sz w:val="34"/>
          <w:szCs w:val="34"/>
        </w:rPr>
        <w:t>利用“世界名厨之乡”（开平），挖掘名厨、创建名店、推广名菜；依托开平市省级粤菜师傅技能培训基地、开平市吴汉良理工学校等平台，大力实施“粤菜师傅”工程。依托江门（塘口）江澳青年文创基地，积极开展“粤菜师傅”研学旅游和交流活动。做好“粤菜师傅之五邑侨香</w:t>
      </w:r>
      <w:r>
        <w:rPr>
          <w:rFonts w:hint="eastAsia" w:ascii="仿宋" w:hAnsi="仿宋" w:eastAsia="仿宋"/>
          <w:sz w:val="34"/>
          <w:szCs w:val="34"/>
          <w:lang w:val="en-US" w:eastAsia="zh-CN"/>
        </w:rPr>
        <w:t xml:space="preserve"> </w:t>
      </w:r>
      <w:r>
        <w:rPr>
          <w:rFonts w:hint="eastAsia" w:ascii="仿宋" w:hAnsi="仿宋" w:eastAsia="仿宋"/>
          <w:sz w:val="34"/>
          <w:szCs w:val="34"/>
        </w:rPr>
        <w:t>四海同享”系列宣传片的传播工作。依托“邂逅三点三 世遗慢时光”等主题活动，让侨乡美食唤起华侨华人的乡愁乡情。</w:t>
      </w:r>
    </w:p>
    <w:p>
      <w:pPr>
        <w:pStyle w:val="3"/>
        <w:spacing w:line="600" w:lineRule="exact"/>
        <w:ind w:left="420"/>
        <w:rPr>
          <w:rFonts w:ascii="黑体" w:hAnsi="黑体"/>
          <w:sz w:val="34"/>
          <w:szCs w:val="34"/>
        </w:rPr>
      </w:pPr>
      <w:bookmarkStart w:id="17" w:name="_Toc166226797"/>
      <w:r>
        <w:rPr>
          <w:rFonts w:hint="eastAsia" w:ascii="黑体" w:hAnsi="黑体"/>
          <w:sz w:val="34"/>
          <w:szCs w:val="34"/>
        </w:rPr>
        <w:t>四、推动侨资源转化为侨动力，打造高水平开放新高地</w:t>
      </w:r>
      <w:bookmarkEnd w:id="17"/>
    </w:p>
    <w:p>
      <w:pPr>
        <w:adjustRightInd w:val="0"/>
        <w:snapToGrid w:val="0"/>
        <w:spacing w:line="600" w:lineRule="exact"/>
        <w:ind w:firstLine="680" w:firstLineChars="200"/>
        <w:rPr>
          <w:rFonts w:ascii="仿宋" w:hAnsi="仿宋" w:eastAsia="仿宋" w:cs="仿宋_GB2312"/>
          <w:sz w:val="34"/>
          <w:szCs w:val="34"/>
        </w:rPr>
      </w:pPr>
      <w:r>
        <w:rPr>
          <w:rFonts w:hint="eastAsia" w:ascii="仿宋" w:hAnsi="仿宋" w:eastAsia="仿宋" w:cs="仿宋_GB2312"/>
          <w:sz w:val="34"/>
          <w:szCs w:val="34"/>
        </w:rPr>
        <w:t>紧紧围绕为经济社会发展大局服务的主线，打造更加开放的侨资源集聚发展平台，推动侨资源成为经贸合作、融通内外的桥梁纽带，促进华侨华人尤其是新生代更好融入“双循环”发展格局，为开平经济高质量发展培育新动能。</w:t>
      </w:r>
    </w:p>
    <w:p>
      <w:pPr>
        <w:pStyle w:val="4"/>
        <w:spacing w:line="600" w:lineRule="exact"/>
        <w:ind w:left="420"/>
        <w:rPr>
          <w:rFonts w:ascii="方正楷体_GBK" w:hAnsi="仿宋" w:eastAsia="方正楷体_GBK"/>
          <w:sz w:val="34"/>
          <w:szCs w:val="34"/>
        </w:rPr>
      </w:pPr>
      <w:bookmarkStart w:id="18" w:name="_Toc166226798"/>
      <w:r>
        <w:rPr>
          <w:rFonts w:hint="eastAsia" w:ascii="方正楷体_GBK" w:hAnsi="仿宋" w:eastAsia="方正楷体_GBK"/>
          <w:sz w:val="34"/>
          <w:szCs w:val="34"/>
        </w:rPr>
        <w:t>（一）建设高水平华侨华人创新创业平台</w:t>
      </w:r>
      <w:bookmarkEnd w:id="18"/>
    </w:p>
    <w:p>
      <w:pPr>
        <w:adjustRightInd w:val="0"/>
        <w:snapToGrid w:val="0"/>
        <w:spacing w:line="600" w:lineRule="exact"/>
        <w:ind w:firstLine="682" w:firstLineChars="200"/>
        <w:rPr>
          <w:rFonts w:ascii="仿宋" w:hAnsi="仿宋" w:eastAsia="仿宋"/>
          <w:strike/>
          <w:sz w:val="34"/>
          <w:szCs w:val="34"/>
        </w:rPr>
      </w:pPr>
      <w:r>
        <w:rPr>
          <w:rFonts w:hint="eastAsia" w:ascii="仿宋" w:hAnsi="仿宋" w:eastAsia="仿宋" w:cs="华文仿宋"/>
          <w:b/>
          <w:bCs/>
          <w:sz w:val="34"/>
          <w:szCs w:val="34"/>
        </w:rPr>
        <w:t>深入推进“侨梦苑”开平分园建设。</w:t>
      </w:r>
      <w:r>
        <w:rPr>
          <w:rFonts w:hint="eastAsia" w:ascii="仿宋" w:hAnsi="仿宋" w:eastAsia="仿宋"/>
          <w:sz w:val="34"/>
          <w:szCs w:val="34"/>
        </w:rPr>
        <w:t>充分发挥“一苑多园”发展新格局优势，突出开平分园特色。落实《江门“侨梦苑”核心区高质量发展若干政策措施》，给予侨资企业融资、研发、人才等方面奖补。完善金融服务，鼓励银行机构设立“侨梦苑”金融服务专属产品，吸引更多金融机构进驻“侨梦苑”。充分发挥“侨梦苑”产业配套和政策优势，搭建江门“侨梦苑”开平分园招商平台，加强对港澳投资企业的服务，打造项目对接、签约落地、创业培训、项目支持等全链条、一站式、精细化综合服务平台，推动海外优质项目和海外高层次人才入驻“侨梦苑”开平分园。发挥港澳资企业和行业商会的带动作用，吸引产业链上下游的华侨华人企业落户。</w:t>
      </w:r>
    </w:p>
    <w:p>
      <w:pPr>
        <w:adjustRightInd w:val="0"/>
        <w:snapToGrid w:val="0"/>
        <w:spacing w:line="600" w:lineRule="exact"/>
        <w:ind w:firstLine="600"/>
        <w:rPr>
          <w:rFonts w:ascii="仿宋" w:hAnsi="仿宋" w:eastAsia="仿宋"/>
          <w:sz w:val="34"/>
          <w:szCs w:val="34"/>
        </w:rPr>
      </w:pPr>
      <w:r>
        <w:rPr>
          <w:rFonts w:hint="eastAsia" w:ascii="仿宋" w:hAnsi="仿宋" w:eastAsia="仿宋"/>
          <w:b/>
          <w:sz w:val="34"/>
          <w:szCs w:val="34"/>
        </w:rPr>
        <w:t>创新打造江门（塘口）江澳青年文创基地。</w:t>
      </w:r>
      <w:r>
        <w:rPr>
          <w:rFonts w:hint="eastAsia" w:ascii="仿宋" w:hAnsi="仿宋" w:eastAsia="仿宋"/>
          <w:sz w:val="34"/>
          <w:szCs w:val="34"/>
        </w:rPr>
        <w:t>利用仓东遗产教育基地、“塘口空间”以及青创基地，建设集文化交流学习、文化展示、非遗与艺术培训、</w:t>
      </w:r>
      <w:r>
        <w:rPr>
          <w:rFonts w:hint="eastAsia" w:ascii="仿宋" w:hAnsi="仿宋" w:eastAsia="仿宋"/>
          <w:sz w:val="34"/>
          <w:szCs w:val="34"/>
          <w:lang w:eastAsia="zh-CN"/>
        </w:rPr>
        <w:t>开平优品及</w:t>
      </w:r>
      <w:r>
        <w:rPr>
          <w:rFonts w:hint="eastAsia" w:ascii="仿宋" w:hAnsi="仿宋" w:eastAsia="仿宋"/>
          <w:sz w:val="34"/>
          <w:szCs w:val="34"/>
        </w:rPr>
        <w:t>文创产品展示、文化旅游于一体的粤港澳大湾区青年文创基地。建立“江门（塘口）江澳青年文创基地”，组织港澳青年考察交流活动。依托本地传统文化、华侨文化与世遗文化的深厚底蕴，对接粤港澳大湾区建设，导入青年文创元素和业态，吸引粤港澳青年参与。成立“澳门开平青年交流活动基地”，举办开港澳侨青年分享会。</w:t>
      </w:r>
    </w:p>
    <w:p>
      <w:pPr>
        <w:adjustRightInd w:val="0"/>
        <w:snapToGrid w:val="0"/>
        <w:spacing w:line="600" w:lineRule="exact"/>
        <w:ind w:firstLine="601"/>
        <w:rPr>
          <w:rFonts w:ascii="仿宋" w:hAnsi="仿宋" w:eastAsia="仿宋"/>
          <w:sz w:val="34"/>
          <w:szCs w:val="34"/>
        </w:rPr>
      </w:pPr>
      <w:r>
        <w:rPr>
          <w:rFonts w:hint="eastAsia" w:ascii="仿宋" w:hAnsi="仿宋" w:eastAsia="仿宋"/>
          <w:b/>
          <w:sz w:val="34"/>
          <w:szCs w:val="34"/>
        </w:rPr>
        <w:t>完善华侨华人创新创业体制机制。</w:t>
      </w:r>
      <w:r>
        <w:rPr>
          <w:rFonts w:hint="eastAsia" w:ascii="仿宋" w:hAnsi="仿宋" w:eastAsia="仿宋"/>
          <w:sz w:val="34"/>
          <w:szCs w:val="34"/>
        </w:rPr>
        <w:t>落实华侨华人在开平创新创业项目与本地企业享受同等政策待遇，打造吸引海外高端人才和留学生创业发展高地。</w:t>
      </w:r>
      <w:r>
        <w:rPr>
          <w:rFonts w:ascii="仿宋" w:hAnsi="仿宋" w:eastAsia="仿宋"/>
          <w:sz w:val="34"/>
          <w:szCs w:val="34"/>
        </w:rPr>
        <w:t>持续开展开平市创业创新大赛等双创活动，加快创业创新人才引育。</w:t>
      </w:r>
      <w:r>
        <w:rPr>
          <w:rFonts w:hint="eastAsia" w:ascii="仿宋" w:hAnsi="仿宋" w:eastAsia="仿宋"/>
          <w:sz w:val="34"/>
          <w:szCs w:val="34"/>
        </w:rPr>
        <w:t>充分发挥各创业基地的引导作用，吸引海外华侨青年回乡创业。营造浓厚的侨青回乡创业优惠政策的宣传氛围，让更多的在外侨青知晓家乡的热情期盼。</w:t>
      </w:r>
    </w:p>
    <w:p>
      <w:pPr>
        <w:pStyle w:val="4"/>
        <w:spacing w:line="600" w:lineRule="exact"/>
        <w:ind w:left="420"/>
        <w:rPr>
          <w:rFonts w:ascii="方正楷体_GBK" w:hAnsi="仿宋" w:eastAsia="方正楷体_GBK"/>
          <w:sz w:val="34"/>
          <w:szCs w:val="34"/>
        </w:rPr>
      </w:pPr>
      <w:bookmarkStart w:id="19" w:name="_Toc166226799"/>
      <w:r>
        <w:rPr>
          <w:rFonts w:hint="eastAsia" w:ascii="方正楷体_GBK" w:hAnsi="仿宋" w:eastAsia="方正楷体_GBK"/>
          <w:sz w:val="34"/>
          <w:szCs w:val="34"/>
        </w:rPr>
        <w:t>（二）打造粤港澳大湾区世界级旅游目的地</w:t>
      </w:r>
      <w:bookmarkEnd w:id="19"/>
    </w:p>
    <w:p>
      <w:pPr>
        <w:adjustRightInd w:val="0"/>
        <w:snapToGrid w:val="0"/>
        <w:spacing w:line="600" w:lineRule="exact"/>
        <w:ind w:firstLine="682" w:firstLineChars="200"/>
        <w:rPr>
          <w:rFonts w:ascii="仿宋" w:hAnsi="仿宋" w:eastAsia="仿宋"/>
          <w:sz w:val="34"/>
          <w:szCs w:val="34"/>
        </w:rPr>
      </w:pPr>
      <w:r>
        <w:rPr>
          <w:rFonts w:hint="eastAsia" w:ascii="仿宋" w:hAnsi="仿宋" w:eastAsia="仿宋"/>
          <w:b/>
          <w:sz w:val="34"/>
          <w:szCs w:val="34"/>
        </w:rPr>
        <w:t>加快赤坎华侨古镇华侨文化展示旅游项目建设。</w:t>
      </w:r>
      <w:r>
        <w:rPr>
          <w:rFonts w:hint="eastAsia" w:ascii="仿宋" w:hAnsi="仿宋" w:eastAsia="仿宋"/>
          <w:sz w:val="34"/>
          <w:szCs w:val="34"/>
        </w:rPr>
        <w:t>突出侨乡文化、古埠码头文化特色，依托保存完整的欧美风情建筑群，大力发展文化创意产业，成为海外华侨优秀影视作品拍摄的重要外景地，充分展示赤坎华侨文化内涵。丰富赤坎华侨古镇业态布局，争创国家级旅游度假区。加强文化、旅游、酒店、民宿等产业招商力度，加强城市宣传推介，促进开平市文化产业和旅游产业融合发展示范产业园建设，推进粤港澳大湾区城市群文旅交流合作。</w:t>
      </w:r>
    </w:p>
    <w:p>
      <w:pPr>
        <w:adjustRightInd w:val="0"/>
        <w:snapToGrid w:val="0"/>
        <w:spacing w:line="600" w:lineRule="exact"/>
        <w:ind w:firstLine="682" w:firstLineChars="200"/>
        <w:rPr>
          <w:rFonts w:ascii="仿宋" w:hAnsi="仿宋" w:eastAsia="仿宋" w:cs="华文仿宋"/>
          <w:bCs/>
          <w:sz w:val="34"/>
          <w:szCs w:val="34"/>
        </w:rPr>
      </w:pPr>
      <w:r>
        <w:rPr>
          <w:rFonts w:hint="eastAsia" w:ascii="仿宋" w:hAnsi="仿宋" w:eastAsia="仿宋"/>
          <w:b/>
          <w:sz w:val="34"/>
          <w:szCs w:val="34"/>
        </w:rPr>
        <w:t>深化开平碉楼与其</w:t>
      </w:r>
      <w:r>
        <w:rPr>
          <w:rFonts w:hint="eastAsia" w:ascii="仿宋" w:hAnsi="仿宋" w:eastAsia="仿宋"/>
          <w:b/>
          <w:sz w:val="34"/>
          <w:szCs w:val="34"/>
          <w:lang w:eastAsia="zh-CN"/>
        </w:rPr>
        <w:t>他</w:t>
      </w:r>
      <w:r>
        <w:rPr>
          <w:rFonts w:hint="eastAsia" w:ascii="仿宋" w:hAnsi="仿宋" w:eastAsia="仿宋"/>
          <w:b/>
          <w:sz w:val="34"/>
          <w:szCs w:val="34"/>
        </w:rPr>
        <w:t>文旅项目联动发展。</w:t>
      </w:r>
      <w:r>
        <w:rPr>
          <w:rFonts w:hint="eastAsia" w:ascii="仿宋" w:hAnsi="仿宋" w:eastAsia="仿宋" w:cs="华文仿宋"/>
          <w:bCs/>
          <w:sz w:val="34"/>
          <w:szCs w:val="34"/>
        </w:rPr>
        <w:t>深入挖掘世界文化遗产开平碉楼与村落的文化内涵，打造江门“侨”文化特色文旅产业，推动文旅融合发展</w:t>
      </w:r>
      <w:r>
        <w:rPr>
          <w:rFonts w:hint="eastAsia" w:ascii="仿宋" w:hAnsi="仿宋" w:eastAsia="仿宋"/>
          <w:sz w:val="34"/>
          <w:szCs w:val="34"/>
        </w:rPr>
        <w:t>。</w:t>
      </w:r>
      <w:r>
        <w:rPr>
          <w:rFonts w:hint="eastAsia" w:ascii="仿宋" w:hAnsi="仿宋" w:eastAsia="仿宋" w:cs="华文仿宋"/>
          <w:bCs/>
          <w:sz w:val="34"/>
          <w:szCs w:val="34"/>
        </w:rPr>
        <w:t>加快“邑美侨乡 世遗风韵”乡村振兴示范</w:t>
      </w:r>
      <w:r>
        <w:rPr>
          <w:rFonts w:hint="eastAsia" w:ascii="仿宋" w:hAnsi="仿宋" w:eastAsia="仿宋" w:cs="华文仿宋"/>
          <w:bCs/>
          <w:sz w:val="34"/>
          <w:szCs w:val="34"/>
          <w:lang w:eastAsia="zh-CN"/>
        </w:rPr>
        <w:t>带</w:t>
      </w:r>
      <w:r>
        <w:rPr>
          <w:rFonts w:hint="eastAsia" w:ascii="仿宋" w:hAnsi="仿宋" w:eastAsia="仿宋" w:cs="华文仿宋"/>
          <w:bCs/>
          <w:sz w:val="34"/>
          <w:szCs w:val="34"/>
        </w:rPr>
        <w:t>文化游径建设和推广力度，打造精品旅游线路。</w:t>
      </w:r>
      <w:r>
        <w:rPr>
          <w:rFonts w:hint="eastAsia" w:ascii="仿宋" w:hAnsi="仿宋" w:eastAsia="仿宋"/>
          <w:sz w:val="34"/>
          <w:szCs w:val="34"/>
        </w:rPr>
        <w:t>加快加拿大村宿集、悠马湾古茶园生态旅游等项目落地，优化提升塘口旧墟片区住宿、休闲、餐饮文旅服务能力，增强优质文旅供给，全力争创国家文化产业和旅游产业融合发展示范区。整合华侨文化资源节点，规划串联司徒美堂故居、余氏风釆堂、红线女故居</w:t>
      </w:r>
      <w:r>
        <w:rPr>
          <w:rFonts w:hint="eastAsia" w:ascii="仿宋" w:hAnsi="仿宋" w:eastAsia="仿宋"/>
          <w:sz w:val="34"/>
          <w:szCs w:val="34"/>
          <w:lang w:eastAsia="zh-CN"/>
        </w:rPr>
        <w:t>、周文雍纪念馆、南楼</w:t>
      </w:r>
      <w:r>
        <w:rPr>
          <w:rFonts w:hint="eastAsia" w:ascii="仿宋" w:hAnsi="仿宋" w:eastAsia="仿宋"/>
          <w:sz w:val="34"/>
          <w:szCs w:val="34"/>
        </w:rPr>
        <w:t>等节点的“侨乡家风”、红色旅游线路。</w:t>
      </w:r>
    </w:p>
    <w:p>
      <w:pPr>
        <w:pStyle w:val="4"/>
        <w:spacing w:line="600" w:lineRule="exact"/>
        <w:ind w:left="420"/>
        <w:rPr>
          <w:rFonts w:ascii="方正楷体_GBK" w:hAnsi="仿宋" w:eastAsia="方正楷体_GBK"/>
          <w:sz w:val="34"/>
          <w:szCs w:val="34"/>
        </w:rPr>
      </w:pPr>
      <w:bookmarkStart w:id="20" w:name="_Toc166226800"/>
      <w:r>
        <w:rPr>
          <w:rFonts w:hint="eastAsia" w:ascii="方正楷体_GBK" w:hAnsi="仿宋" w:eastAsia="方正楷体_GBK"/>
          <w:sz w:val="34"/>
          <w:szCs w:val="34"/>
        </w:rPr>
        <w:t>（三）打造最优侨商侨资回归投资环境</w:t>
      </w:r>
      <w:bookmarkEnd w:id="20"/>
    </w:p>
    <w:p>
      <w:pPr>
        <w:adjustRightInd w:val="0"/>
        <w:snapToGrid w:val="0"/>
        <w:spacing w:line="600" w:lineRule="exact"/>
        <w:ind w:firstLine="682" w:firstLineChars="200"/>
        <w:rPr>
          <w:rFonts w:ascii="仿宋" w:hAnsi="仿宋" w:eastAsia="仿宋"/>
          <w:sz w:val="34"/>
          <w:szCs w:val="34"/>
        </w:rPr>
      </w:pPr>
      <w:r>
        <w:rPr>
          <w:rFonts w:hint="eastAsia" w:ascii="仿宋" w:hAnsi="仿宋" w:eastAsia="仿宋"/>
          <w:b/>
          <w:sz w:val="34"/>
          <w:szCs w:val="34"/>
        </w:rPr>
        <w:t>开展“惠侨暖企”行动。</w:t>
      </w:r>
      <w:r>
        <w:rPr>
          <w:rFonts w:hint="eastAsia" w:ascii="仿宋" w:hAnsi="仿宋" w:eastAsia="仿宋"/>
          <w:sz w:val="34"/>
          <w:szCs w:val="34"/>
        </w:rPr>
        <w:t>建立侨资企业数据库，完善侨资企业动态信息收集机制和侨资企业联系服务机制，营造良好的富商、安商环境。加大资金扶持力度，提升侨资企业技术升级和自主创新能力，支持侨资企业发展数字经济，促进侨资企业高质量发展。助力新生代侨资企业家教育培养工作、代际传承，推动侨资企业可持续发展。</w:t>
      </w:r>
    </w:p>
    <w:p>
      <w:pPr>
        <w:adjustRightInd w:val="0"/>
        <w:snapToGrid w:val="0"/>
        <w:spacing w:line="600" w:lineRule="exact"/>
        <w:ind w:firstLine="682" w:firstLineChars="200"/>
        <w:rPr>
          <w:rFonts w:ascii="仿宋" w:hAnsi="仿宋" w:eastAsia="仿宋"/>
          <w:sz w:val="34"/>
          <w:szCs w:val="34"/>
        </w:rPr>
      </w:pPr>
      <w:r>
        <w:rPr>
          <w:rFonts w:hint="eastAsia" w:ascii="仿宋" w:hAnsi="仿宋" w:eastAsia="仿宋" w:cs="仿宋_GB2312"/>
          <w:b/>
          <w:bCs/>
          <w:sz w:val="34"/>
          <w:szCs w:val="34"/>
        </w:rPr>
        <w:t>积极开展“以侨引商引资”活动。</w:t>
      </w:r>
      <w:r>
        <w:rPr>
          <w:rFonts w:hint="eastAsia" w:ascii="仿宋" w:hAnsi="仿宋" w:eastAsia="仿宋"/>
          <w:sz w:val="34"/>
          <w:szCs w:val="34"/>
        </w:rPr>
        <w:t>开展海外开平籍侨商目标群体分析，分行业、分地域建立重点开平籍侨商资源库，</w:t>
      </w:r>
      <w:r>
        <w:rPr>
          <w:rFonts w:hint="eastAsia" w:ascii="仿宋" w:hAnsi="仿宋" w:eastAsia="仿宋" w:cs="仿宋_GB2312"/>
          <w:bCs/>
          <w:sz w:val="34"/>
          <w:szCs w:val="34"/>
        </w:rPr>
        <w:t>提升智慧对接能力。</w:t>
      </w:r>
      <w:r>
        <w:rPr>
          <w:rFonts w:hint="eastAsia" w:ascii="仿宋" w:hAnsi="仿宋" w:eastAsia="仿宋"/>
          <w:sz w:val="34"/>
          <w:szCs w:val="34"/>
        </w:rPr>
        <w:t>加强与海外侨商联谊，开展侨商、侨领“家乡行”等活动。引导海外侨商到</w:t>
      </w:r>
      <w:r>
        <w:rPr>
          <w:rFonts w:hint="eastAsia" w:ascii="仿宋" w:hAnsi="仿宋" w:eastAsia="仿宋" w:cs="华文仿宋"/>
          <w:bCs/>
          <w:sz w:val="34"/>
          <w:szCs w:val="34"/>
        </w:rPr>
        <w:t>江门“侨梦苑”开平分园</w:t>
      </w:r>
      <w:r>
        <w:rPr>
          <w:rFonts w:hint="eastAsia" w:ascii="仿宋" w:hAnsi="仿宋" w:eastAsia="仿宋"/>
          <w:sz w:val="34"/>
          <w:szCs w:val="34"/>
        </w:rPr>
        <w:t>、赤坎华侨古镇、世界文化遗产开平碉楼与村落、塘口粤港澳大湾区青年文创基地等平台开展项目考察、对接洽谈。依</w:t>
      </w:r>
      <w:r>
        <w:rPr>
          <w:rFonts w:hint="eastAsia" w:ascii="仿宋" w:hAnsi="仿宋" w:eastAsia="仿宋" w:cs="华文仿宋"/>
          <w:bCs/>
          <w:sz w:val="34"/>
          <w:szCs w:val="34"/>
        </w:rPr>
        <w:t>托海外重点五邑籍、开平籍侨团平台，建立海外华侨华人招商引资引智联络点，整合海外华侨华人资源，形成对外开放与合作的民间资源网络。</w:t>
      </w:r>
      <w:r>
        <w:rPr>
          <w:rFonts w:hint="eastAsia" w:ascii="仿宋" w:hAnsi="仿宋" w:eastAsia="仿宋" w:cs="仿宋_GB2312"/>
          <w:sz w:val="34"/>
          <w:szCs w:val="34"/>
        </w:rPr>
        <w:t>组织开展“侨商回家”活动，通过多种方式、多种渠道、多种载体扩大侨界招商“朋友圈”</w:t>
      </w:r>
      <w:r>
        <w:rPr>
          <w:rFonts w:hint="eastAsia" w:ascii="仿宋" w:hAnsi="仿宋" w:eastAsia="仿宋"/>
          <w:sz w:val="34"/>
          <w:szCs w:val="34"/>
        </w:rPr>
        <w:t>。充分利用江门市境外商务交流处功能，深化与外国驻华领事馆和投资促进机构合作，及时发布和出台最新的“对外招商项目”和投资政策，吸引更多外资项目落户，为开平开放型经济建设提供强大动力和活力。办好港澳新春投资环境推介会和香港开平建筑产品推介会。引导侨企、侨胞积极参与“百千万工程”，为全市经济社会</w:t>
      </w:r>
      <w:r>
        <w:rPr>
          <w:rFonts w:hint="eastAsia" w:ascii="仿宋" w:hAnsi="仿宋" w:eastAsia="仿宋"/>
          <w:sz w:val="34"/>
          <w:szCs w:val="34"/>
          <w:lang w:eastAsia="zh-CN"/>
        </w:rPr>
        <w:t>高质量</w:t>
      </w:r>
      <w:r>
        <w:rPr>
          <w:rFonts w:hint="eastAsia" w:ascii="仿宋" w:hAnsi="仿宋" w:eastAsia="仿宋"/>
          <w:sz w:val="34"/>
          <w:szCs w:val="34"/>
        </w:rPr>
        <w:t>发展贡献力量。</w:t>
      </w:r>
    </w:p>
    <w:p>
      <w:pPr>
        <w:adjustRightInd w:val="0"/>
        <w:snapToGrid w:val="0"/>
        <w:spacing w:line="600" w:lineRule="exact"/>
        <w:ind w:firstLine="682" w:firstLineChars="200"/>
        <w:rPr>
          <w:rFonts w:ascii="仿宋" w:hAnsi="仿宋" w:eastAsia="仿宋"/>
          <w:sz w:val="34"/>
          <w:szCs w:val="34"/>
        </w:rPr>
      </w:pPr>
      <w:r>
        <w:rPr>
          <w:rFonts w:hint="eastAsia" w:ascii="仿宋" w:hAnsi="仿宋" w:eastAsia="仿宋"/>
          <w:b/>
          <w:sz w:val="34"/>
          <w:szCs w:val="34"/>
        </w:rPr>
        <w:t>深入开展便利华侨华人投资制度改革试点。</w:t>
      </w:r>
      <w:r>
        <w:rPr>
          <w:rFonts w:hint="eastAsia" w:ascii="仿宋" w:hAnsi="仿宋" w:eastAsia="仿宋"/>
          <w:sz w:val="34"/>
          <w:szCs w:val="34"/>
        </w:rPr>
        <w:t>更新发布开平产业招商地图，定期发布面向华侨华人投资机会清单。深化“证照分离”改革，通过取消审批、审批改备案、告知承诺制、优化审批服务等方式不断深化涉企经营许可改革。落实华侨回国定居和申请恢复（登记）户籍“一窗受理、并行审批、一并发证”。鼓励华侨华人在开平布局重大产业和战略性新兴产业项目，支持符合条件的侨资企业成为链主企业，推动侨资企业与供应链上下游企业开展联合技术攻关和生产制造。探索开展知识产权证券化工作，申报中国（江门）水暖五金知识产权快速维权中心。</w:t>
      </w:r>
    </w:p>
    <w:p>
      <w:pPr>
        <w:adjustRightInd w:val="0"/>
        <w:snapToGrid w:val="0"/>
        <w:spacing w:line="600" w:lineRule="exact"/>
        <w:ind w:firstLine="682" w:firstLineChars="200"/>
        <w:rPr>
          <w:rFonts w:ascii="仿宋" w:hAnsi="仿宋" w:eastAsia="仿宋"/>
          <w:sz w:val="34"/>
          <w:szCs w:val="34"/>
        </w:rPr>
      </w:pPr>
      <w:r>
        <w:rPr>
          <w:rFonts w:hint="eastAsia" w:ascii="仿宋" w:hAnsi="仿宋" w:eastAsia="仿宋"/>
          <w:b/>
          <w:bCs/>
          <w:sz w:val="34"/>
          <w:szCs w:val="34"/>
        </w:rPr>
        <w:t>推动跨境金融服务创新。</w:t>
      </w:r>
      <w:r>
        <w:rPr>
          <w:rFonts w:hint="eastAsia" w:ascii="仿宋" w:hAnsi="仿宋" w:eastAsia="仿宋"/>
          <w:sz w:val="34"/>
          <w:szCs w:val="34"/>
        </w:rPr>
        <w:t>鼓励符合条件的侨资企业向辖区内试点银行申请成为贸易外汇收支便利化试点企业。推进辖区内银行落实个人贸易便利化结算措施，在单证审核和业务流程上为华侨华人提供便捷服务，促进华侨华人开展市场采购贸易和跨境电子商务。加快“跨境理财通”业务落地，鼓励侨资高新技术企业运用外债额度便利化试点开展跨境融资。探索开展本外币合一银行账户、跨国公司本外币合一资金池、贸易融资跨境资产转让等业务试点。</w:t>
      </w:r>
    </w:p>
    <w:p>
      <w:pPr>
        <w:pStyle w:val="3"/>
        <w:spacing w:line="600" w:lineRule="exact"/>
        <w:ind w:left="420"/>
        <w:rPr>
          <w:rFonts w:ascii="黑体" w:hAnsi="黑体"/>
          <w:sz w:val="34"/>
          <w:szCs w:val="34"/>
        </w:rPr>
      </w:pPr>
      <w:bookmarkStart w:id="21" w:name="_Toc166226801"/>
      <w:r>
        <w:rPr>
          <w:rFonts w:hint="eastAsia" w:ascii="黑体" w:hAnsi="黑体"/>
          <w:sz w:val="34"/>
          <w:szCs w:val="34"/>
        </w:rPr>
        <w:t>五、护侨引才双管齐下，推动固根筑梦新发展</w:t>
      </w:r>
      <w:bookmarkEnd w:id="21"/>
    </w:p>
    <w:p>
      <w:pPr>
        <w:adjustRightInd w:val="0"/>
        <w:snapToGrid w:val="0"/>
        <w:spacing w:line="600" w:lineRule="exact"/>
        <w:ind w:firstLine="680" w:firstLineChars="200"/>
        <w:jc w:val="left"/>
        <w:rPr>
          <w:rFonts w:hint="eastAsia" w:ascii="仿宋" w:hAnsi="仿宋" w:eastAsia="仿宋" w:cs="仿宋_GB2312"/>
          <w:kern w:val="28"/>
          <w:sz w:val="34"/>
          <w:szCs w:val="34"/>
          <w:lang w:val="en-US" w:eastAsia="zh-CN"/>
        </w:rPr>
      </w:pPr>
      <w:r>
        <w:rPr>
          <w:rFonts w:hint="eastAsia" w:ascii="仿宋" w:hAnsi="仿宋" w:eastAsia="仿宋" w:cs="仿宋_GB2312"/>
          <w:kern w:val="28"/>
          <w:sz w:val="34"/>
          <w:szCs w:val="34"/>
        </w:rPr>
        <w:t>坚持华侨权益保护与海内外人才引进并重，健全华侨权益保护机制，落实侨房侨产保护，构建为侨公共服务体系，加强协同联动深化服务。健全完善海内外人才引进与管理办法，进一步优化人才发展环境，提升侨务工作科学化水平。</w:t>
      </w:r>
    </w:p>
    <w:p>
      <w:pPr>
        <w:pStyle w:val="4"/>
        <w:spacing w:line="600" w:lineRule="exact"/>
        <w:ind w:left="420"/>
        <w:rPr>
          <w:rFonts w:ascii="方正楷体_GBK" w:hAnsi="仿宋" w:eastAsia="方正楷体_GBK"/>
          <w:sz w:val="34"/>
          <w:szCs w:val="34"/>
        </w:rPr>
      </w:pPr>
      <w:bookmarkStart w:id="22" w:name="_Toc166226802"/>
      <w:r>
        <w:rPr>
          <w:rFonts w:hint="eastAsia" w:ascii="方正楷体_GBK" w:hAnsi="仿宋" w:eastAsia="方正楷体_GBK"/>
          <w:sz w:val="34"/>
          <w:szCs w:val="34"/>
        </w:rPr>
        <w:t>（一）</w:t>
      </w:r>
      <w:r>
        <w:rPr>
          <w:rFonts w:hint="eastAsia" w:ascii="方正楷体_GBK" w:hAnsi="仿宋" w:eastAsia="方正楷体_GBK"/>
          <w:color w:val="auto"/>
          <w:sz w:val="34"/>
          <w:szCs w:val="34"/>
          <w:lang w:eastAsia="zh-CN"/>
        </w:rPr>
        <w:t>加大</w:t>
      </w:r>
      <w:r>
        <w:rPr>
          <w:rFonts w:hint="eastAsia" w:ascii="方正楷体_GBK" w:hAnsi="仿宋" w:eastAsia="方正楷体_GBK"/>
          <w:sz w:val="34"/>
          <w:szCs w:val="34"/>
        </w:rPr>
        <w:t>华侨权益保护力度</w:t>
      </w:r>
      <w:bookmarkEnd w:id="22"/>
    </w:p>
    <w:p>
      <w:pPr>
        <w:widowControl/>
        <w:adjustRightInd w:val="0"/>
        <w:snapToGrid w:val="0"/>
        <w:spacing w:line="600" w:lineRule="exact"/>
        <w:ind w:firstLine="682" w:firstLineChars="200"/>
        <w:jc w:val="left"/>
        <w:rPr>
          <w:rFonts w:ascii="仿宋" w:hAnsi="仿宋" w:eastAsia="仿宋" w:cs="仿宋_GB2312"/>
          <w:kern w:val="28"/>
          <w:sz w:val="34"/>
          <w:szCs w:val="34"/>
        </w:rPr>
      </w:pPr>
      <w:r>
        <w:rPr>
          <w:rFonts w:hint="eastAsia" w:ascii="仿宋" w:hAnsi="仿宋" w:eastAsia="仿宋"/>
          <w:b/>
          <w:bCs/>
          <w:kern w:val="28"/>
          <w:sz w:val="34"/>
          <w:szCs w:val="34"/>
        </w:rPr>
        <w:t>健全华侨权益保护机制。</w:t>
      </w:r>
      <w:r>
        <w:rPr>
          <w:rFonts w:hint="eastAsia" w:ascii="仿宋" w:hAnsi="仿宋" w:eastAsia="仿宋" w:cs="仿宋_GB2312"/>
          <w:kern w:val="28"/>
          <w:sz w:val="34"/>
          <w:szCs w:val="34"/>
        </w:rPr>
        <w:t>贯彻落实《中华人民共和国归侨侨眷权益保护法》和《广东省归侨侨眷权益保护实施办法》等有关华侨权益保护法规，确保华侨权益受到合法保护。加强涉侨工作的统筹与协调，充分利用“司+侨”“法+侨”“检+侨”联动机制，以服务涉侨涉外企业发展、保障海内外侨胞和归侨侨眷合法权益为重点，助力建立完善涉侨纠纷多元化解工作机制，畅通侨胞侨眷诉求表达、矛盾化解、案件诉讼绿色通道，依法维护广大侨胞权益，加强华侨华人就业以及相关配套服务权益保障，切实增强海内外华侨华人的获得感、幸福感、安全感。</w:t>
      </w:r>
    </w:p>
    <w:p>
      <w:pPr>
        <w:pStyle w:val="2"/>
        <w:adjustRightInd w:val="0"/>
        <w:snapToGrid w:val="0"/>
        <w:spacing w:after="0" w:line="600" w:lineRule="exact"/>
        <w:ind w:firstLine="682" w:firstLineChars="200"/>
        <w:rPr>
          <w:rFonts w:ascii="仿宋" w:hAnsi="仿宋" w:eastAsia="仿宋" w:cs="仿宋_GB2312"/>
          <w:kern w:val="28"/>
          <w:sz w:val="34"/>
          <w:szCs w:val="34"/>
        </w:rPr>
      </w:pPr>
      <w:r>
        <w:rPr>
          <w:rFonts w:hint="eastAsia" w:ascii="仿宋" w:hAnsi="仿宋" w:eastAsia="仿宋" w:cstheme="minorBidi"/>
          <w:b/>
          <w:bCs/>
          <w:kern w:val="28"/>
          <w:sz w:val="34"/>
          <w:szCs w:val="34"/>
        </w:rPr>
        <w:t>加强侨资保护。</w:t>
      </w:r>
      <w:r>
        <w:rPr>
          <w:rFonts w:hint="eastAsia" w:ascii="仿宋" w:hAnsi="仿宋" w:eastAsia="仿宋" w:cs="仿宋_GB2312"/>
          <w:kern w:val="28"/>
          <w:sz w:val="34"/>
          <w:szCs w:val="34"/>
        </w:rPr>
        <w:t>依托各镇（街道）协助华侨房屋保护服务，及时反馈房屋的相关信息，并为海外华侨提供房屋修缮便利。进一步做好华侨房屋代管托管工作，提供地方政府托管、私人代管的公</w:t>
      </w:r>
      <w:r>
        <w:rPr>
          <w:rFonts w:hint="eastAsia" w:ascii="仿宋" w:hAnsi="仿宋" w:eastAsia="仿宋" w:cs="仿宋_GB2312"/>
          <w:kern w:val="28"/>
          <w:sz w:val="34"/>
          <w:szCs w:val="34"/>
          <w:lang w:eastAsia="zh-CN"/>
        </w:rPr>
        <w:t>证</w:t>
      </w:r>
      <w:r>
        <w:rPr>
          <w:rFonts w:hint="eastAsia" w:ascii="仿宋" w:hAnsi="仿宋" w:eastAsia="仿宋" w:cs="仿宋_GB2312"/>
          <w:kern w:val="28"/>
          <w:sz w:val="34"/>
          <w:szCs w:val="34"/>
        </w:rPr>
        <w:t>与法律服务，确保华侨侨房得到及时保护不受侵害，让华侨安心暖心。总结赤坎华侨古镇和碉楼与村落的保育经验，做好空置的侨房侨产保护和活化工作，为华侨后代留住乡情留住“根”。</w:t>
      </w:r>
    </w:p>
    <w:p>
      <w:pPr>
        <w:pStyle w:val="4"/>
        <w:spacing w:line="600" w:lineRule="exact"/>
        <w:ind w:left="420"/>
        <w:rPr>
          <w:rFonts w:ascii="方正楷体_GBK" w:hAnsi="仿宋" w:eastAsia="方正楷体_GBK"/>
          <w:sz w:val="34"/>
          <w:szCs w:val="34"/>
        </w:rPr>
      </w:pPr>
      <w:bookmarkStart w:id="23" w:name="_Toc166226803"/>
      <w:r>
        <w:rPr>
          <w:rFonts w:hint="eastAsia" w:ascii="方正楷体_GBK" w:hAnsi="仿宋" w:eastAsia="方正楷体_GBK"/>
          <w:sz w:val="34"/>
          <w:szCs w:val="34"/>
        </w:rPr>
        <w:t>（二）完善涉侨服务体系建设</w:t>
      </w:r>
      <w:bookmarkEnd w:id="23"/>
    </w:p>
    <w:p>
      <w:pPr>
        <w:widowControl/>
        <w:adjustRightInd w:val="0"/>
        <w:snapToGrid w:val="0"/>
        <w:spacing w:line="600" w:lineRule="exact"/>
        <w:ind w:firstLine="682" w:firstLineChars="200"/>
        <w:jc w:val="left"/>
        <w:rPr>
          <w:rFonts w:ascii="仿宋" w:hAnsi="仿宋" w:eastAsia="仿宋" w:cs="仿宋_GB2312"/>
          <w:kern w:val="28"/>
          <w:sz w:val="34"/>
          <w:szCs w:val="34"/>
        </w:rPr>
      </w:pPr>
      <w:r>
        <w:rPr>
          <w:rFonts w:hint="eastAsia" w:ascii="仿宋" w:hAnsi="仿宋" w:eastAsia="仿宋" w:cs="仿宋_GB2312"/>
          <w:b/>
          <w:bCs/>
          <w:kern w:val="28"/>
          <w:sz w:val="34"/>
          <w:szCs w:val="34"/>
        </w:rPr>
        <w:t>构建为侨公共服务体系。</w:t>
      </w:r>
      <w:r>
        <w:rPr>
          <w:rFonts w:hint="eastAsia" w:ascii="仿宋" w:hAnsi="仿宋" w:eastAsia="仿宋" w:cs="仿宋_GB2312"/>
          <w:kern w:val="28"/>
          <w:sz w:val="34"/>
          <w:szCs w:val="34"/>
        </w:rPr>
        <w:t>围绕涉侨政策法律、涉侨事务、侨界民生和事业发展，进一步完善为侨公共服务体系和扩大为侨公共服务供给。加强涉侨行政服务平台、为侨服务综合平台、为侨服务网络平台建设和完善统筹协调工作机制，依托开平市华侨华人港澳台同胞综合服务中心，建设面向海内外“一站式”法律服务综合体和平台，推进涉外公共法律服务体系建设，建设华侨华人离岸公共法律服务中心，推行涉侨远程公证服务，实现“一次不跑”线上办理，提升侨</w:t>
      </w:r>
      <w:r>
        <w:rPr>
          <w:rFonts w:hint="eastAsia" w:ascii="仿宋" w:hAnsi="仿宋" w:eastAsia="仿宋" w:cs="仿宋_GB2312"/>
          <w:kern w:val="28"/>
          <w:sz w:val="34"/>
          <w:szCs w:val="34"/>
          <w:lang w:eastAsia="zh-CN"/>
        </w:rPr>
        <w:t>乡</w:t>
      </w:r>
      <w:r>
        <w:rPr>
          <w:rFonts w:hint="eastAsia" w:ascii="仿宋" w:hAnsi="仿宋" w:eastAsia="仿宋" w:cs="仿宋_GB2312"/>
          <w:kern w:val="28"/>
          <w:sz w:val="34"/>
          <w:szCs w:val="34"/>
        </w:rPr>
        <w:t>维护华侨华人合法权益功能，全面提升为侨服务质量和水平。</w:t>
      </w:r>
    </w:p>
    <w:p>
      <w:pPr>
        <w:widowControl/>
        <w:adjustRightInd w:val="0"/>
        <w:snapToGrid w:val="0"/>
        <w:spacing w:line="600" w:lineRule="exact"/>
        <w:ind w:firstLine="682" w:firstLineChars="200"/>
        <w:jc w:val="left"/>
        <w:rPr>
          <w:rFonts w:ascii="仿宋" w:hAnsi="仿宋" w:eastAsia="仿宋" w:cs="仿宋_GB2312"/>
          <w:strike/>
          <w:kern w:val="28"/>
          <w:sz w:val="34"/>
          <w:szCs w:val="34"/>
        </w:rPr>
      </w:pPr>
      <w:r>
        <w:rPr>
          <w:rFonts w:hint="eastAsia" w:ascii="仿宋" w:hAnsi="仿宋" w:eastAsia="仿宋" w:cs="仿宋_GB2312"/>
          <w:b/>
          <w:bCs/>
          <w:kern w:val="28"/>
          <w:sz w:val="34"/>
          <w:szCs w:val="34"/>
        </w:rPr>
        <w:t>加强协同联动深化服务。</w:t>
      </w:r>
      <w:r>
        <w:rPr>
          <w:rFonts w:hint="eastAsia" w:ascii="仿宋" w:hAnsi="仿宋" w:eastAsia="仿宋" w:cs="仿宋_GB2312"/>
          <w:kern w:val="28"/>
          <w:sz w:val="34"/>
          <w:szCs w:val="34"/>
        </w:rPr>
        <w:t>建设市、镇（街道）、村三级公共法律服务实体平台，进一步健全侨服务队伍。加强侨务社区阵地建设，建设“税+侨”“健康+侨”“金融+侨”服务平台。加强“一社（村）一品”特色建设，实现社区侨务工作精品化、特色化发展。依托社区侨服务志愿队，持续推进“暖侨护侨”计划，开展“侨爱心工程”，为本地生活工作的华侨华人及其子女在教育、医疗、养老、住房、交通等方面做好服务指引，打造“暖侨聚力</w:t>
      </w:r>
      <w:r>
        <w:rPr>
          <w:rFonts w:hint="eastAsia" w:ascii="仿宋" w:hAnsi="仿宋" w:eastAsia="仿宋" w:cs="仿宋_GB2312"/>
          <w:kern w:val="28"/>
          <w:sz w:val="34"/>
          <w:szCs w:val="34"/>
          <w:lang w:eastAsia="zh-CN"/>
        </w:rPr>
        <w:t>侨管家</w:t>
      </w:r>
      <w:r>
        <w:rPr>
          <w:rFonts w:hint="eastAsia" w:ascii="仿宋" w:hAnsi="仿宋" w:eastAsia="仿宋" w:cs="仿宋_GB2312"/>
          <w:kern w:val="28"/>
          <w:sz w:val="34"/>
          <w:szCs w:val="34"/>
        </w:rPr>
        <w:t>”为侨服务品牌。</w:t>
      </w:r>
    </w:p>
    <w:p>
      <w:pPr>
        <w:overflowPunct w:val="0"/>
        <w:autoSpaceDN w:val="0"/>
        <w:adjustRightInd w:val="0"/>
        <w:snapToGrid w:val="0"/>
        <w:spacing w:line="600" w:lineRule="exact"/>
        <w:ind w:right="96" w:firstLine="682" w:firstLineChars="200"/>
        <w:rPr>
          <w:rFonts w:ascii="仿宋" w:hAnsi="仿宋" w:eastAsia="仿宋" w:cs="仿宋_GB2312"/>
          <w:kern w:val="28"/>
          <w:sz w:val="34"/>
          <w:szCs w:val="34"/>
        </w:rPr>
      </w:pPr>
      <w:r>
        <w:rPr>
          <w:rFonts w:hint="eastAsia" w:ascii="仿宋" w:hAnsi="仿宋" w:eastAsia="仿宋" w:cs="仿宋_GB2312"/>
          <w:b/>
          <w:bCs/>
          <w:kern w:val="28"/>
          <w:sz w:val="34"/>
          <w:szCs w:val="34"/>
        </w:rPr>
        <w:t>推进侨务数字化建设。</w:t>
      </w:r>
      <w:r>
        <w:rPr>
          <w:rFonts w:hint="eastAsia" w:ascii="仿宋" w:hAnsi="仿宋" w:eastAsia="仿宋" w:cs="仿宋_GB2312"/>
          <w:kern w:val="28"/>
          <w:sz w:val="34"/>
          <w:szCs w:val="34"/>
        </w:rPr>
        <w:t>结合“数字政府”建设，完善“一门式”改革，</w:t>
      </w:r>
      <w:r>
        <w:rPr>
          <w:rFonts w:hint="eastAsia" w:ascii="仿宋" w:hAnsi="仿宋" w:eastAsia="仿宋" w:cs="仿宋"/>
          <w:sz w:val="34"/>
          <w:szCs w:val="34"/>
        </w:rPr>
        <w:t>提升数字侨务服务，</w:t>
      </w:r>
      <w:r>
        <w:rPr>
          <w:rFonts w:hint="eastAsia" w:ascii="仿宋" w:hAnsi="仿宋" w:eastAsia="仿宋" w:cs="仿宋_GB2312"/>
          <w:kern w:val="28"/>
          <w:sz w:val="34"/>
          <w:szCs w:val="34"/>
        </w:rPr>
        <w:t>实现涉侨行政服务、民生保障、信息处理、侨务援助等线上</w:t>
      </w:r>
      <w:r>
        <w:rPr>
          <w:rFonts w:hint="eastAsia" w:ascii="仿宋" w:hAnsi="仿宋" w:eastAsia="仿宋" w:cs="仿宋"/>
          <w:sz w:val="34"/>
          <w:szCs w:val="34"/>
        </w:rPr>
        <w:t>“一网通办”“一站式”办理和“不见面”审批</w:t>
      </w:r>
      <w:r>
        <w:rPr>
          <w:rFonts w:hint="eastAsia" w:ascii="仿宋" w:hAnsi="仿宋" w:eastAsia="仿宋" w:cs="仿宋_GB2312"/>
          <w:kern w:val="28"/>
          <w:sz w:val="34"/>
          <w:szCs w:val="34"/>
        </w:rPr>
        <w:t>。依托“互联网</w:t>
      </w:r>
      <w:r>
        <w:rPr>
          <w:rFonts w:ascii="仿宋" w:hAnsi="仿宋" w:eastAsia="仿宋" w:cs="仿宋_GB2312"/>
          <w:kern w:val="28"/>
          <w:sz w:val="34"/>
          <w:szCs w:val="34"/>
        </w:rPr>
        <w:t>+”，</w:t>
      </w:r>
      <w:r>
        <w:rPr>
          <w:rFonts w:hint="eastAsia" w:ascii="仿宋" w:hAnsi="仿宋" w:eastAsia="仿宋"/>
          <w:sz w:val="34"/>
          <w:szCs w:val="34"/>
        </w:rPr>
        <w:t xml:space="preserve"> </w:t>
      </w:r>
      <w:r>
        <w:rPr>
          <w:rFonts w:hint="eastAsia" w:ascii="仿宋" w:hAnsi="仿宋" w:eastAsia="仿宋" w:cs="仿宋_GB2312"/>
          <w:kern w:val="28"/>
          <w:sz w:val="34"/>
          <w:szCs w:val="34"/>
        </w:rPr>
        <w:t>进一步做好全市华侨身份及信息核查工作，建立健全侨情资源信息库，建设侨乡服务“全球通办”平台。</w:t>
      </w:r>
      <w:r>
        <w:rPr>
          <w:rFonts w:ascii="仿宋" w:hAnsi="仿宋" w:eastAsia="仿宋" w:cs="仿宋"/>
          <w:sz w:val="34"/>
          <w:szCs w:val="34"/>
        </w:rPr>
        <w:t>落</w:t>
      </w:r>
      <w:r>
        <w:rPr>
          <w:rFonts w:ascii="仿宋" w:hAnsi="仿宋" w:eastAsia="仿宋" w:cs="仿宋_GB2312"/>
          <w:kern w:val="28"/>
          <w:sz w:val="34"/>
          <w:szCs w:val="34"/>
        </w:rPr>
        <w:t>实“寻根谒祖”项目工作，完善侨乡侨胞的姓氏寻源、故乡寻根、宗亲联谊信息资源，提升开平侨务数字化建设水平与服务质量。</w:t>
      </w:r>
    </w:p>
    <w:p>
      <w:pPr>
        <w:pStyle w:val="4"/>
        <w:spacing w:line="600" w:lineRule="exact"/>
        <w:ind w:left="420"/>
        <w:rPr>
          <w:rFonts w:ascii="方正楷体_GBK" w:hAnsi="仿宋" w:eastAsia="方正楷体_GBK"/>
          <w:sz w:val="34"/>
          <w:szCs w:val="34"/>
        </w:rPr>
      </w:pPr>
      <w:bookmarkStart w:id="24" w:name="_Toc166226804"/>
      <w:r>
        <w:rPr>
          <w:rFonts w:hint="eastAsia" w:ascii="方正楷体_GBK" w:hAnsi="仿宋" w:eastAsia="方正楷体_GBK"/>
          <w:sz w:val="34"/>
          <w:szCs w:val="34"/>
        </w:rPr>
        <w:t>（三）加快优秀双创人才引进</w:t>
      </w:r>
      <w:bookmarkEnd w:id="24"/>
    </w:p>
    <w:p>
      <w:pPr>
        <w:pStyle w:val="2"/>
        <w:adjustRightInd w:val="0"/>
        <w:snapToGrid w:val="0"/>
        <w:spacing w:after="0" w:line="600" w:lineRule="exact"/>
        <w:ind w:firstLine="682" w:firstLineChars="200"/>
        <w:rPr>
          <w:rFonts w:ascii="仿宋" w:hAnsi="仿宋" w:eastAsia="仿宋" w:cstheme="minorBidi"/>
          <w:kern w:val="28"/>
          <w:sz w:val="34"/>
          <w:szCs w:val="34"/>
        </w:rPr>
      </w:pPr>
      <w:r>
        <w:rPr>
          <w:rFonts w:hint="eastAsia" w:ascii="仿宋" w:hAnsi="仿宋" w:eastAsia="仿宋" w:cstheme="minorBidi"/>
          <w:b/>
          <w:bCs/>
          <w:kern w:val="28"/>
          <w:sz w:val="34"/>
          <w:szCs w:val="34"/>
        </w:rPr>
        <w:t>优化海内外人才政策环境。</w:t>
      </w:r>
      <w:r>
        <w:rPr>
          <w:rFonts w:hint="eastAsia" w:ascii="仿宋" w:hAnsi="仿宋" w:eastAsia="仿宋" w:cstheme="minorBidi"/>
          <w:kern w:val="28"/>
          <w:sz w:val="34"/>
          <w:szCs w:val="34"/>
        </w:rPr>
        <w:t>根</w:t>
      </w:r>
      <w:r>
        <w:rPr>
          <w:rFonts w:hint="eastAsia" w:ascii="仿宋" w:hAnsi="仿宋" w:eastAsia="仿宋" w:cs="仿宋_GB2312"/>
          <w:kern w:val="28"/>
          <w:sz w:val="34"/>
          <w:szCs w:val="34"/>
        </w:rPr>
        <w:t>据江门市高层次人才引进的相关办法，对接粤港澳大湾区人才管理的相关政策，实施更加开放的人才政策，鼓励支持港澳人才到开平就业创业。依托江门开平市文旅创业孵化基地，优化港澳青年创新创业“软环境”。为吸引港澳青年来开平扎根，广纳港澳英才落户发展，为符合条件的港澳居民提供创业担保贷款及贴息、一次性创业资助、创业带动就业补贴、租金补贴等就业创业补贴，为港澳居民在开平就业创业提供政策保障，栽好梧桐树吸引海内外</w:t>
      </w:r>
      <w:r>
        <w:rPr>
          <w:rFonts w:hint="eastAsia" w:ascii="仿宋" w:hAnsi="仿宋" w:eastAsia="仿宋" w:cstheme="minorBidi"/>
          <w:kern w:val="28"/>
          <w:sz w:val="34"/>
          <w:szCs w:val="34"/>
        </w:rPr>
        <w:t>优秀人才。</w:t>
      </w:r>
    </w:p>
    <w:p>
      <w:pPr>
        <w:adjustRightInd w:val="0"/>
        <w:snapToGrid w:val="0"/>
        <w:spacing w:line="600" w:lineRule="exact"/>
        <w:ind w:firstLine="682" w:firstLineChars="200"/>
        <w:rPr>
          <w:rFonts w:ascii="仿宋" w:hAnsi="仿宋" w:eastAsia="仿宋" w:cs="仿宋_GB2312"/>
          <w:kern w:val="28"/>
          <w:sz w:val="34"/>
          <w:szCs w:val="34"/>
        </w:rPr>
      </w:pPr>
      <w:r>
        <w:rPr>
          <w:rFonts w:hint="eastAsia" w:ascii="仿宋" w:hAnsi="仿宋" w:eastAsia="仿宋" w:cstheme="majorBidi"/>
          <w:b/>
          <w:kern w:val="28"/>
          <w:sz w:val="34"/>
          <w:szCs w:val="34"/>
        </w:rPr>
        <w:t>推进高水平科研基地建设。</w:t>
      </w:r>
      <w:r>
        <w:rPr>
          <w:rFonts w:hint="eastAsia" w:ascii="仿宋" w:hAnsi="仿宋" w:eastAsia="仿宋" w:cs="仿宋_GB2312"/>
          <w:kern w:val="28"/>
          <w:sz w:val="34"/>
          <w:szCs w:val="34"/>
        </w:rPr>
        <w:t>加强与海外华侨华人科技人才对接，协力推进大科学装置江门中微子实验室建设，打造成为具有全球影响力的科研高地和国际科技交流平台。协力推进全国首个中微子主题科普基地（科普馆）建设，打造粤港澳大湾区重要的科普基地。</w:t>
      </w:r>
    </w:p>
    <w:p>
      <w:pPr>
        <w:pStyle w:val="3"/>
        <w:spacing w:line="600" w:lineRule="exact"/>
        <w:ind w:left="420"/>
        <w:rPr>
          <w:rFonts w:ascii="黑体" w:hAnsi="黑体"/>
          <w:sz w:val="34"/>
          <w:szCs w:val="34"/>
        </w:rPr>
      </w:pPr>
      <w:bookmarkStart w:id="25" w:name="_Toc166226805"/>
      <w:r>
        <w:rPr>
          <w:rFonts w:hint="eastAsia" w:ascii="黑体" w:hAnsi="黑体"/>
          <w:sz w:val="34"/>
          <w:szCs w:val="34"/>
        </w:rPr>
        <w:t>六、整合各类传播资源，拓展城市品牌影响力</w:t>
      </w:r>
      <w:bookmarkEnd w:id="25"/>
    </w:p>
    <w:p>
      <w:pPr>
        <w:adjustRightInd w:val="0"/>
        <w:snapToGrid w:val="0"/>
        <w:spacing w:line="600" w:lineRule="exact"/>
        <w:ind w:firstLine="680" w:firstLineChars="200"/>
        <w:rPr>
          <w:rFonts w:ascii="仿宋" w:hAnsi="仿宋" w:eastAsia="仿宋" w:cs="仿宋"/>
          <w:bCs/>
          <w:sz w:val="34"/>
          <w:szCs w:val="34"/>
        </w:rPr>
      </w:pPr>
      <w:r>
        <w:rPr>
          <w:rFonts w:hint="eastAsia" w:ascii="仿宋" w:hAnsi="仿宋" w:eastAsia="仿宋" w:cs="仿宋"/>
          <w:bCs/>
          <w:sz w:val="34"/>
          <w:szCs w:val="34"/>
        </w:rPr>
        <w:t>加快推</w:t>
      </w:r>
      <w:r>
        <w:rPr>
          <w:rFonts w:hint="eastAsia" w:ascii="仿宋" w:hAnsi="仿宋" w:eastAsia="仿宋" w:cs="Times New Roman"/>
          <w:kern w:val="28"/>
          <w:sz w:val="34"/>
          <w:szCs w:val="34"/>
          <w:lang w:eastAsia="zh-CN"/>
        </w:rPr>
        <w:t>进</w:t>
      </w:r>
      <w:r>
        <w:rPr>
          <w:rFonts w:hint="eastAsia" w:ascii="仿宋" w:hAnsi="仿宋" w:eastAsia="仿宋" w:cs="Times New Roman"/>
          <w:kern w:val="28"/>
          <w:sz w:val="34"/>
          <w:szCs w:val="34"/>
        </w:rPr>
        <w:t>“侨都赋能”“港澳融合”工程</w:t>
      </w:r>
      <w:r>
        <w:rPr>
          <w:rFonts w:hint="eastAsia" w:ascii="仿宋" w:hAnsi="仿宋" w:eastAsia="仿宋" w:cs="Times New Roman"/>
          <w:kern w:val="28"/>
          <w:sz w:val="34"/>
          <w:szCs w:val="34"/>
          <w:lang w:eastAsia="zh-CN"/>
        </w:rPr>
        <w:t>和“聚侨引智”行动</w:t>
      </w:r>
      <w:r>
        <w:rPr>
          <w:rFonts w:hint="eastAsia" w:ascii="仿宋" w:hAnsi="仿宋" w:eastAsia="仿宋" w:cs="Times New Roman"/>
          <w:kern w:val="28"/>
          <w:sz w:val="34"/>
          <w:szCs w:val="34"/>
        </w:rPr>
        <w:t>，</w:t>
      </w:r>
      <w:r>
        <w:rPr>
          <w:rFonts w:hint="eastAsia" w:ascii="仿宋" w:hAnsi="仿宋" w:eastAsia="仿宋" w:cs="仿宋"/>
          <w:bCs/>
          <w:sz w:val="34"/>
          <w:szCs w:val="34"/>
        </w:rPr>
        <w:t>立足广东</w:t>
      </w:r>
      <w:r>
        <w:rPr>
          <w:rFonts w:hint="eastAsia" w:ascii="仿宋" w:hAnsi="仿宋" w:eastAsia="仿宋" w:cs="Times New Roman"/>
          <w:kern w:val="28"/>
          <w:sz w:val="34"/>
          <w:szCs w:val="34"/>
        </w:rPr>
        <w:t>第一处</w:t>
      </w:r>
      <w:r>
        <w:rPr>
          <w:rFonts w:hint="eastAsia" w:ascii="仿宋" w:hAnsi="仿宋" w:eastAsia="仿宋" w:cs="仿宋"/>
          <w:bCs/>
          <w:sz w:val="34"/>
          <w:szCs w:val="34"/>
        </w:rPr>
        <w:t>世界文化遗产“开平碉楼与村落”，整合周边村落以及塘口圩镇资源，建好用好赤坎华侨古镇传播优秀中华文化，将“开平·世遗”“中国·赤坎”打造成为享誉世界的“中国名片”，赋予开平城市品牌新的内涵。</w:t>
      </w:r>
    </w:p>
    <w:p>
      <w:pPr>
        <w:keepNext/>
        <w:keepLines/>
        <w:adjustRightInd w:val="0"/>
        <w:snapToGrid w:val="0"/>
        <w:spacing w:line="600" w:lineRule="exact"/>
        <w:ind w:left="420" w:leftChars="200"/>
        <w:outlineLvl w:val="1"/>
        <w:rPr>
          <w:rFonts w:ascii="方正楷体_GBK" w:hAnsi="仿宋" w:eastAsia="方正楷体_GBK" w:cs="Times New Roman"/>
          <w:b/>
          <w:bCs/>
          <w:sz w:val="34"/>
          <w:szCs w:val="34"/>
        </w:rPr>
      </w:pPr>
      <w:bookmarkStart w:id="26" w:name="_Toc166226806"/>
      <w:r>
        <w:rPr>
          <w:rFonts w:hint="eastAsia" w:ascii="方正楷体_GBK" w:hAnsi="仿宋" w:eastAsia="方正楷体_GBK" w:cs="Times New Roman"/>
          <w:b/>
          <w:bCs/>
          <w:sz w:val="34"/>
          <w:szCs w:val="34"/>
        </w:rPr>
        <w:t>（一）加强品牌传播机制优化</w:t>
      </w:r>
      <w:bookmarkEnd w:id="26"/>
    </w:p>
    <w:p>
      <w:pPr>
        <w:adjustRightInd w:val="0"/>
        <w:snapToGrid w:val="0"/>
        <w:spacing w:line="600" w:lineRule="exact"/>
        <w:ind w:firstLine="682" w:firstLineChars="200"/>
        <w:rPr>
          <w:rFonts w:ascii="仿宋" w:hAnsi="仿宋" w:eastAsia="仿宋" w:cs="仿宋"/>
          <w:sz w:val="34"/>
          <w:szCs w:val="34"/>
        </w:rPr>
      </w:pPr>
      <w:r>
        <w:rPr>
          <w:rFonts w:hint="eastAsia" w:ascii="仿宋" w:hAnsi="仿宋" w:eastAsia="仿宋" w:cs="仿宋"/>
          <w:b/>
          <w:bCs/>
          <w:sz w:val="34"/>
          <w:szCs w:val="34"/>
        </w:rPr>
        <w:t>主动对接做好宣传工作。</w:t>
      </w:r>
      <w:r>
        <w:rPr>
          <w:rFonts w:hint="eastAsia" w:ascii="仿宋" w:hAnsi="仿宋" w:eastAsia="仿宋" w:cs="仿宋"/>
          <w:sz w:val="34"/>
          <w:szCs w:val="34"/>
        </w:rPr>
        <w:t>围绕市委、市政府中心工作以及“开平·世遗”“中国·赤坎”城市品牌传播需求，加强协调、对接，配合做好江门“中国侨都”城市品牌传播工作。善于借“船”出海，主动对接央媒、省媒等外宣平台，加强与海外媒体交流合作，利用开平举办各类活动、配合开展侨界媒体采风行活动等契机，邀请各类媒体宣传报道，讲好开平故事，不断拓展开平城市品牌影响力。</w:t>
      </w:r>
    </w:p>
    <w:p>
      <w:pPr>
        <w:adjustRightInd w:val="0"/>
        <w:snapToGrid w:val="0"/>
        <w:spacing w:line="600" w:lineRule="exact"/>
        <w:ind w:firstLine="682" w:firstLineChars="200"/>
        <w:rPr>
          <w:rFonts w:ascii="仿宋" w:hAnsi="仿宋" w:eastAsia="仿宋" w:cs="Times New Roman"/>
          <w:sz w:val="34"/>
          <w:szCs w:val="34"/>
        </w:rPr>
      </w:pPr>
      <w:r>
        <w:rPr>
          <w:rFonts w:hint="eastAsia" w:ascii="仿宋" w:hAnsi="仿宋" w:eastAsia="仿宋" w:cs="仿宋"/>
          <w:b/>
          <w:bCs/>
          <w:sz w:val="34"/>
          <w:szCs w:val="34"/>
        </w:rPr>
        <w:t>建立社团沟通联络机制。</w:t>
      </w:r>
      <w:r>
        <w:rPr>
          <w:rFonts w:hint="eastAsia" w:ascii="仿宋" w:hAnsi="仿宋" w:eastAsia="仿宋" w:cs="仿宋"/>
          <w:sz w:val="34"/>
          <w:szCs w:val="34"/>
        </w:rPr>
        <w:t>加强海外文化交流，配合开展侨团侨胞来开平联谊、恳亲、商贸活动。加强与影响力较大的华侨华人社团、省内外相关协会沟通联络、交流交往，大力宣传开平城市发展、乡村振兴</w:t>
      </w:r>
      <w:r>
        <w:rPr>
          <w:rFonts w:hint="eastAsia" w:ascii="仿宋" w:hAnsi="仿宋" w:eastAsia="仿宋" w:cs="仿宋"/>
          <w:sz w:val="34"/>
          <w:szCs w:val="34"/>
          <w:lang w:eastAsia="zh-CN"/>
        </w:rPr>
        <w:t>、“百县千镇万村高质量发展工程”“绿美开平”</w:t>
      </w:r>
      <w:r>
        <w:rPr>
          <w:rFonts w:hint="eastAsia" w:ascii="仿宋" w:hAnsi="仿宋" w:eastAsia="仿宋" w:cs="仿宋"/>
          <w:sz w:val="34"/>
          <w:szCs w:val="34"/>
        </w:rPr>
        <w:t>等动态，以乡风、乡情、乡愁吸引从开平走出去的华侨华人寻根问祖、创业创新，不断扩大开平“朋友圈”，持续提升开平城市知名度。</w:t>
      </w:r>
    </w:p>
    <w:p>
      <w:pPr>
        <w:keepNext/>
        <w:keepLines/>
        <w:adjustRightInd w:val="0"/>
        <w:snapToGrid w:val="0"/>
        <w:spacing w:line="600" w:lineRule="exact"/>
        <w:ind w:left="420" w:leftChars="200"/>
        <w:outlineLvl w:val="1"/>
        <w:rPr>
          <w:rFonts w:ascii="方正楷体_GBK" w:hAnsi="仿宋" w:eastAsia="方正楷体_GBK" w:cs="Times New Roman"/>
          <w:b/>
          <w:bCs/>
          <w:sz w:val="34"/>
          <w:szCs w:val="34"/>
        </w:rPr>
      </w:pPr>
      <w:bookmarkStart w:id="27" w:name="_Toc166226807"/>
      <w:r>
        <w:rPr>
          <w:rFonts w:hint="eastAsia" w:ascii="方正楷体_GBK" w:hAnsi="仿宋" w:eastAsia="方正楷体_GBK" w:cs="Times New Roman"/>
          <w:b/>
          <w:bCs/>
          <w:sz w:val="34"/>
          <w:szCs w:val="34"/>
        </w:rPr>
        <w:t>（二）加强品牌传播平台建设</w:t>
      </w:r>
      <w:bookmarkEnd w:id="27"/>
    </w:p>
    <w:p>
      <w:pPr>
        <w:adjustRightInd w:val="0"/>
        <w:snapToGrid w:val="0"/>
        <w:spacing w:line="600" w:lineRule="exact"/>
        <w:ind w:firstLine="682" w:firstLineChars="200"/>
        <w:rPr>
          <w:rFonts w:ascii="仿宋" w:hAnsi="仿宋" w:eastAsia="仿宋" w:cs="仿宋"/>
          <w:bCs/>
          <w:sz w:val="34"/>
          <w:szCs w:val="34"/>
        </w:rPr>
      </w:pPr>
      <w:r>
        <w:rPr>
          <w:rFonts w:hint="eastAsia" w:ascii="仿宋" w:hAnsi="仿宋" w:eastAsia="仿宋" w:cs="仿宋"/>
          <w:b/>
          <w:bCs/>
          <w:sz w:val="34"/>
          <w:szCs w:val="34"/>
        </w:rPr>
        <w:t>加快融媒体平台建设。</w:t>
      </w:r>
      <w:r>
        <w:rPr>
          <w:rFonts w:hint="eastAsia" w:ascii="仿宋" w:hAnsi="仿宋" w:eastAsia="仿宋" w:cs="仿宋"/>
          <w:bCs/>
          <w:sz w:val="34"/>
          <w:szCs w:val="34"/>
        </w:rPr>
        <w:t>依托开平作为全国融媒体中心试点，媒体融合发展走在全省各县前列的重要基础，修炼好“内功”，建强用好开平市融媒体中心等传播平台。用好音频视频、即时通讯等社交媒体，探索使用</w:t>
      </w:r>
      <w:r>
        <w:rPr>
          <w:rFonts w:ascii="仿宋" w:hAnsi="仿宋" w:eastAsia="仿宋" w:cs="仿宋"/>
          <w:bCs/>
          <w:sz w:val="34"/>
          <w:szCs w:val="34"/>
        </w:rPr>
        <w:t>3D、4K、5G等新技术</w:t>
      </w:r>
      <w:r>
        <w:rPr>
          <w:rFonts w:hint="eastAsia" w:ascii="仿宋" w:hAnsi="仿宋" w:eastAsia="仿宋" w:cs="仿宋"/>
          <w:bCs/>
          <w:sz w:val="34"/>
          <w:szCs w:val="34"/>
        </w:rPr>
        <w:t>、新</w:t>
      </w:r>
      <w:r>
        <w:rPr>
          <w:rFonts w:ascii="仿宋" w:hAnsi="仿宋" w:eastAsia="仿宋" w:cs="仿宋"/>
          <w:bCs/>
          <w:sz w:val="34"/>
          <w:szCs w:val="34"/>
        </w:rPr>
        <w:t>手段，在更多平台</w:t>
      </w:r>
      <w:r>
        <w:rPr>
          <w:rFonts w:hint="eastAsia" w:ascii="仿宋" w:hAnsi="仿宋" w:eastAsia="仿宋" w:cs="仿宋"/>
          <w:bCs/>
          <w:sz w:val="34"/>
          <w:szCs w:val="34"/>
        </w:rPr>
        <w:t>、用更多形式，</w:t>
      </w:r>
      <w:r>
        <w:rPr>
          <w:rFonts w:ascii="仿宋" w:hAnsi="仿宋" w:eastAsia="仿宋" w:cs="仿宋"/>
          <w:bCs/>
          <w:sz w:val="34"/>
          <w:szCs w:val="34"/>
        </w:rPr>
        <w:t>发出更多“开平好声音”。</w:t>
      </w:r>
    </w:p>
    <w:p>
      <w:pPr>
        <w:adjustRightInd w:val="0"/>
        <w:snapToGrid w:val="0"/>
        <w:spacing w:line="600" w:lineRule="exact"/>
        <w:ind w:firstLine="682" w:firstLineChars="200"/>
        <w:rPr>
          <w:rFonts w:ascii="仿宋" w:hAnsi="仿宋" w:eastAsia="仿宋" w:cs="仿宋"/>
          <w:bCs/>
          <w:sz w:val="34"/>
          <w:szCs w:val="34"/>
        </w:rPr>
      </w:pPr>
      <w:r>
        <w:rPr>
          <w:rFonts w:hint="eastAsia" w:ascii="仿宋" w:hAnsi="仿宋" w:eastAsia="仿宋" w:cs="仿宋"/>
          <w:b/>
          <w:bCs/>
          <w:sz w:val="34"/>
          <w:szCs w:val="34"/>
        </w:rPr>
        <w:t>推动侨刊乡讯走上“云端”。</w:t>
      </w:r>
      <w:r>
        <w:rPr>
          <w:rFonts w:hint="eastAsia" w:ascii="仿宋" w:hAnsi="仿宋" w:eastAsia="仿宋" w:cs="仿宋"/>
          <w:bCs/>
          <w:sz w:val="34"/>
          <w:szCs w:val="34"/>
        </w:rPr>
        <w:t>建设具有开平特色的侨刊乡讯矩阵，发挥“集体家书”作用，传播开平“侨味”故事。探索推动</w:t>
      </w:r>
      <w:r>
        <w:rPr>
          <w:rFonts w:ascii="仿宋" w:hAnsi="仿宋" w:eastAsia="仿宋" w:cs="仿宋"/>
          <w:bCs/>
          <w:sz w:val="34"/>
          <w:szCs w:val="34"/>
        </w:rPr>
        <w:t>2至3家侨刊乡</w:t>
      </w:r>
      <w:r>
        <w:rPr>
          <w:rFonts w:hint="eastAsia" w:ascii="仿宋" w:hAnsi="仿宋" w:eastAsia="仿宋" w:cs="仿宋"/>
          <w:bCs/>
          <w:sz w:val="34"/>
          <w:szCs w:val="34"/>
        </w:rPr>
        <w:t>讯电子化转型，用好公众号、抖音号等新媒体，以“云端家书”形式，做好精准传播、精品传播，让更多华侨华人尤其新生代更直接、更全面了解中国的新发展、祖籍地的新变化。</w:t>
      </w:r>
    </w:p>
    <w:p>
      <w:pPr>
        <w:keepNext/>
        <w:keepLines/>
        <w:adjustRightInd w:val="0"/>
        <w:snapToGrid w:val="0"/>
        <w:spacing w:line="600" w:lineRule="exact"/>
        <w:ind w:left="420" w:leftChars="200"/>
        <w:outlineLvl w:val="1"/>
        <w:rPr>
          <w:rFonts w:ascii="方正楷体_GBK" w:hAnsi="仿宋" w:eastAsia="方正楷体_GBK" w:cs="Times New Roman"/>
          <w:b/>
          <w:bCs/>
          <w:sz w:val="34"/>
          <w:szCs w:val="34"/>
        </w:rPr>
      </w:pPr>
      <w:bookmarkStart w:id="28" w:name="_Toc166226808"/>
      <w:r>
        <w:rPr>
          <w:rFonts w:hint="eastAsia" w:ascii="方正楷体_GBK" w:hAnsi="仿宋" w:eastAsia="方正楷体_GBK" w:cs="Times New Roman"/>
          <w:b/>
          <w:bCs/>
          <w:sz w:val="34"/>
          <w:szCs w:val="34"/>
        </w:rPr>
        <w:t>（三）加强品牌传播活动策划</w:t>
      </w:r>
      <w:bookmarkEnd w:id="28"/>
    </w:p>
    <w:p>
      <w:pPr>
        <w:adjustRightInd w:val="0"/>
        <w:snapToGrid w:val="0"/>
        <w:spacing w:line="600" w:lineRule="exact"/>
        <w:ind w:firstLine="682" w:firstLineChars="200"/>
        <w:rPr>
          <w:rFonts w:ascii="仿宋" w:hAnsi="仿宋" w:eastAsia="仿宋" w:cs="仿宋"/>
          <w:bCs/>
          <w:sz w:val="34"/>
          <w:szCs w:val="34"/>
        </w:rPr>
      </w:pPr>
      <w:r>
        <w:rPr>
          <w:rFonts w:hint="eastAsia" w:ascii="仿宋" w:hAnsi="仿宋" w:eastAsia="仿宋" w:cs="仿宋"/>
          <w:b/>
          <w:sz w:val="34"/>
          <w:szCs w:val="34"/>
        </w:rPr>
        <w:t>巩固拓展赤坎华侨古镇品牌。</w:t>
      </w:r>
      <w:r>
        <w:rPr>
          <w:rFonts w:hint="eastAsia" w:ascii="仿宋" w:hAnsi="仿宋" w:eastAsia="仿宋" w:cs="仿宋"/>
          <w:bCs/>
          <w:sz w:val="34"/>
          <w:szCs w:val="34"/>
        </w:rPr>
        <w:t>高标准建设赤坎华侨古镇，发挥“中国·赤坎”品牌引领作用，配合做好国家、省相关涉侨活动。做好赤坎华侨古镇的内容建设，推进传统与现代、本土化与国际化深度融合，打造“世界华侨华人共同家园”“华侨华人文化精神高地”特色文化品牌IP，生成独特的开平城市品牌标识。</w:t>
      </w:r>
    </w:p>
    <w:p>
      <w:pPr>
        <w:adjustRightInd w:val="0"/>
        <w:snapToGrid w:val="0"/>
        <w:spacing w:line="600" w:lineRule="exact"/>
        <w:ind w:firstLine="682" w:firstLineChars="200"/>
        <w:rPr>
          <w:rFonts w:hint="eastAsia"/>
        </w:rPr>
      </w:pPr>
      <w:r>
        <w:rPr>
          <w:rFonts w:hint="eastAsia" w:ascii="仿宋" w:hAnsi="仿宋" w:eastAsia="仿宋" w:cs="仿宋"/>
          <w:b/>
          <w:sz w:val="34"/>
          <w:szCs w:val="34"/>
        </w:rPr>
        <w:t>统筹开展品牌活动策划。</w:t>
      </w:r>
      <w:r>
        <w:rPr>
          <w:rFonts w:hint="eastAsia" w:ascii="仿宋" w:hAnsi="仿宋" w:eastAsia="仿宋" w:cs="仿宋"/>
          <w:sz w:val="34"/>
          <w:szCs w:val="34"/>
        </w:rPr>
        <w:t>配合提升“少年中国说”、中国（江门）侨乡华人嘉年华、世界江门青年大会等涉侨品牌活动影响力。支持夏令营、大讲堂等面向港澳台青少年及海外华裔青少年的品牌研学活动在开平实施</w:t>
      </w:r>
      <w:r>
        <w:rPr>
          <w:rFonts w:ascii="仿宋" w:hAnsi="仿宋" w:eastAsia="仿宋" w:cs="仿宋"/>
          <w:sz w:val="34"/>
          <w:szCs w:val="34"/>
        </w:rPr>
        <w:t>。</w:t>
      </w:r>
      <w:r>
        <w:rPr>
          <w:rFonts w:hint="eastAsia" w:ascii="仿宋" w:hAnsi="仿宋" w:eastAsia="仿宋" w:cs="仿宋"/>
          <w:sz w:val="34"/>
          <w:szCs w:val="34"/>
        </w:rPr>
        <w:t>策划以“开平·世遗”“中国·赤坎”两大核心品牌传播为主题的创意传播活动，统筹</w:t>
      </w:r>
      <w:r>
        <w:rPr>
          <w:rFonts w:ascii="仿宋" w:hAnsi="仿宋" w:eastAsia="仿宋" w:cs="仿宋"/>
          <w:sz w:val="34"/>
          <w:szCs w:val="34"/>
        </w:rPr>
        <w:t>本土艺术家以及省内外</w:t>
      </w:r>
      <w:r>
        <w:rPr>
          <w:rFonts w:hint="eastAsia" w:ascii="仿宋" w:hAnsi="仿宋" w:eastAsia="仿宋" w:cs="仿宋"/>
          <w:sz w:val="34"/>
          <w:szCs w:val="34"/>
        </w:rPr>
        <w:t>广泛的</w:t>
      </w:r>
      <w:r>
        <w:rPr>
          <w:rFonts w:ascii="仿宋" w:hAnsi="仿宋" w:eastAsia="仿宋" w:cs="仿宋"/>
          <w:sz w:val="34"/>
          <w:szCs w:val="34"/>
        </w:rPr>
        <w:t>艺术创作资源，</w:t>
      </w:r>
      <w:r>
        <w:rPr>
          <w:rFonts w:hint="eastAsia" w:ascii="仿宋" w:hAnsi="仿宋" w:eastAsia="仿宋" w:cs="仿宋"/>
          <w:sz w:val="34"/>
          <w:szCs w:val="34"/>
        </w:rPr>
        <w:t>运用文学的深度、影视的直观、音乐的感染力以及动漫的创新性等多种艺术媒介</w:t>
      </w:r>
      <w:r>
        <w:rPr>
          <w:rFonts w:ascii="仿宋" w:hAnsi="仿宋" w:eastAsia="仿宋" w:cs="仿宋"/>
          <w:sz w:val="34"/>
          <w:szCs w:val="34"/>
        </w:rPr>
        <w:t>，</w:t>
      </w:r>
      <w:r>
        <w:rPr>
          <w:rFonts w:hint="eastAsia" w:ascii="仿宋" w:hAnsi="仿宋" w:eastAsia="仿宋" w:cs="仿宋"/>
          <w:sz w:val="34"/>
          <w:szCs w:val="34"/>
        </w:rPr>
        <w:t>深度挖掘并弘扬开平独特城市魅力。</w:t>
      </w:r>
    </w:p>
    <w:tbl>
      <w:tblPr>
        <w:tblStyle w:val="20"/>
        <w:tblpPr w:leftFromText="180" w:rightFromText="180" w:vertAnchor="text" w:horzAnchor="page" w:tblpX="1393" w:tblpY="528"/>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5518"/>
        <w:gridCol w:w="1519"/>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trPr>
        <w:tc>
          <w:tcPr>
            <w:tcW w:w="9364" w:type="dxa"/>
            <w:gridSpan w:val="4"/>
            <w:noWrap w:val="0"/>
            <w:vAlign w:val="top"/>
          </w:tcPr>
          <w:p>
            <w:pPr>
              <w:pStyle w:val="2"/>
              <w:spacing w:line="480" w:lineRule="exact"/>
              <w:jc w:val="center"/>
              <w:rPr>
                <w:rFonts w:ascii="Times New Roman" w:hAnsi="Times New Roman" w:eastAsia="方正仿宋简体" w:cs="Times New Roman"/>
                <w:color w:val="000000"/>
                <w:kern w:val="0"/>
                <w:sz w:val="34"/>
                <w:szCs w:val="34"/>
              </w:rPr>
            </w:pPr>
            <w:r>
              <w:rPr>
                <w:rFonts w:hint="eastAsia" w:ascii="Times New Roman" w:hAnsi="Times New Roman" w:eastAsia="方正仿宋简体" w:cs="Times New Roman"/>
                <w:color w:val="000000"/>
                <w:kern w:val="0"/>
                <w:sz w:val="34"/>
                <w:szCs w:val="34"/>
              </w:rPr>
              <w:t>“</w:t>
            </w:r>
            <w:r>
              <w:rPr>
                <w:rFonts w:ascii="Times New Roman" w:hAnsi="Times New Roman" w:eastAsia="方正仿宋简体" w:cs="Times New Roman"/>
                <w:color w:val="000000"/>
                <w:kern w:val="0"/>
                <w:sz w:val="34"/>
                <w:szCs w:val="34"/>
              </w:rPr>
              <w:t>十四五</w:t>
            </w:r>
            <w:r>
              <w:rPr>
                <w:rFonts w:hint="eastAsia" w:ascii="Times New Roman" w:hAnsi="Times New Roman" w:eastAsia="方正仿宋简体" w:cs="Times New Roman"/>
                <w:color w:val="000000"/>
                <w:kern w:val="0"/>
                <w:sz w:val="34"/>
                <w:szCs w:val="34"/>
              </w:rPr>
              <w:t>”</w:t>
            </w:r>
            <w:r>
              <w:rPr>
                <w:rFonts w:ascii="Times New Roman" w:hAnsi="Times New Roman" w:eastAsia="方正仿宋简体" w:cs="Times New Roman"/>
                <w:color w:val="000000"/>
                <w:kern w:val="0"/>
                <w:sz w:val="34"/>
                <w:szCs w:val="34"/>
              </w:rPr>
              <w:t>时期侨务强市主要预期指标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rPr>
        <w:tc>
          <w:tcPr>
            <w:tcW w:w="998" w:type="dxa"/>
            <w:noWrap w:val="0"/>
            <w:vAlign w:val="top"/>
          </w:tcPr>
          <w:p>
            <w:pPr>
              <w:spacing w:line="400" w:lineRule="exact"/>
              <w:jc w:val="center"/>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类别</w:t>
            </w:r>
          </w:p>
        </w:tc>
        <w:tc>
          <w:tcPr>
            <w:tcW w:w="5518" w:type="dxa"/>
            <w:noWrap w:val="0"/>
            <w:vAlign w:val="top"/>
          </w:tcPr>
          <w:p>
            <w:pPr>
              <w:spacing w:line="400" w:lineRule="exact"/>
              <w:ind w:firstLine="560" w:firstLineChars="200"/>
              <w:jc w:val="center"/>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指标</w:t>
            </w:r>
          </w:p>
        </w:tc>
        <w:tc>
          <w:tcPr>
            <w:tcW w:w="1519" w:type="dxa"/>
            <w:noWrap w:val="0"/>
            <w:vAlign w:val="top"/>
          </w:tcPr>
          <w:p>
            <w:pPr>
              <w:spacing w:line="400" w:lineRule="exact"/>
              <w:jc w:val="center"/>
              <w:rPr>
                <w:rFonts w:hint="eastAsia" w:ascii="Times New Roman" w:hAnsi="Times New Roman" w:eastAsia="方正仿宋简体"/>
                <w:color w:val="000000"/>
                <w:kern w:val="0"/>
                <w:sz w:val="28"/>
                <w:szCs w:val="28"/>
                <w:lang w:eastAsia="zh-CN"/>
              </w:rPr>
            </w:pPr>
            <w:r>
              <w:rPr>
                <w:rFonts w:hint="eastAsia" w:ascii="Times New Roman" w:hAnsi="Times New Roman" w:eastAsia="方正仿宋简体"/>
                <w:color w:val="000000"/>
                <w:kern w:val="0"/>
                <w:sz w:val="28"/>
                <w:szCs w:val="28"/>
                <w:lang w:eastAsia="zh-CN"/>
              </w:rPr>
              <w:t>江门</w:t>
            </w:r>
          </w:p>
        </w:tc>
        <w:tc>
          <w:tcPr>
            <w:tcW w:w="1329" w:type="dxa"/>
            <w:noWrap w:val="0"/>
            <w:vAlign w:val="top"/>
          </w:tcPr>
          <w:p>
            <w:pPr>
              <w:spacing w:line="400" w:lineRule="exact"/>
              <w:jc w:val="center"/>
              <w:rPr>
                <w:rFonts w:hint="eastAsia" w:ascii="Times New Roman" w:hAnsi="Times New Roman" w:eastAsia="方正仿宋简体"/>
                <w:color w:val="000000"/>
                <w:kern w:val="0"/>
                <w:sz w:val="28"/>
                <w:szCs w:val="28"/>
                <w:lang w:eastAsia="zh-CN"/>
              </w:rPr>
            </w:pPr>
            <w:r>
              <w:rPr>
                <w:rFonts w:hint="eastAsia" w:ascii="Times New Roman" w:hAnsi="Times New Roman" w:eastAsia="方正仿宋简体"/>
                <w:color w:val="000000"/>
                <w:kern w:val="0"/>
                <w:sz w:val="28"/>
                <w:szCs w:val="28"/>
                <w:lang w:eastAsia="zh-CN"/>
              </w:rPr>
              <w:t>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 w:hRule="atLeast"/>
        </w:trPr>
        <w:tc>
          <w:tcPr>
            <w:tcW w:w="998" w:type="dxa"/>
            <w:vMerge w:val="restart"/>
            <w:noWrap w:val="0"/>
            <w:vAlign w:val="top"/>
          </w:tcPr>
          <w:p>
            <w:pPr>
              <w:bidi w:val="0"/>
            </w:pPr>
          </w:p>
          <w:p>
            <w:pPr>
              <w:bidi w:val="0"/>
              <w:jc w:val="center"/>
              <w:rPr>
                <w:rFonts w:hint="eastAsia" w:eastAsiaTheme="minorEastAsia"/>
                <w:lang w:eastAsia="zh-CN"/>
              </w:rPr>
            </w:pPr>
            <w:r>
              <w:rPr>
                <w:rFonts w:hint="eastAsia" w:ascii="Times New Roman" w:hAnsi="Times New Roman" w:eastAsia="方正仿宋简体" w:cstheme="minorBidi"/>
                <w:color w:val="000000"/>
                <w:kern w:val="0"/>
                <w:sz w:val="28"/>
                <w:szCs w:val="28"/>
                <w:lang w:val="en-US" w:eastAsia="zh-CN" w:bidi="ar-SA"/>
              </w:rPr>
              <w:t>文化交流</w:t>
            </w: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中国华侨国际文化交流基地数量（个）</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9</w:t>
            </w:r>
          </w:p>
        </w:tc>
        <w:tc>
          <w:tcPr>
            <w:tcW w:w="1329" w:type="dxa"/>
            <w:noWrap w:val="0"/>
            <w:vAlign w:val="top"/>
          </w:tcPr>
          <w:p>
            <w:pPr>
              <w:pStyle w:val="18"/>
              <w:spacing w:line="400" w:lineRule="exact"/>
              <w:ind w:left="0" w:leftChars="0" w:firstLine="0"/>
              <w:jc w:val="center"/>
              <w:rPr>
                <w:rFonts w:hint="eastAsia"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 w:hRule="atLeast"/>
        </w:trPr>
        <w:tc>
          <w:tcPr>
            <w:tcW w:w="998" w:type="dxa"/>
            <w:vMerge w:val="continue"/>
            <w:noWrap w:val="0"/>
            <w:vAlign w:val="top"/>
          </w:tcPr>
          <w:p>
            <w:pPr>
              <w:pStyle w:val="18"/>
              <w:spacing w:line="400" w:lineRule="exact"/>
              <w:ind w:left="0" w:leftChars="0" w:firstLine="560" w:firstLineChars="200"/>
              <w:rPr>
                <w:rFonts w:ascii="Times New Roman" w:hAnsi="Times New Roman" w:eastAsia="方正仿宋简体"/>
                <w:color w:val="000000"/>
                <w:kern w:val="0"/>
                <w:sz w:val="28"/>
                <w:szCs w:val="28"/>
              </w:rPr>
            </w:pP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省级</w:t>
            </w:r>
            <w:r>
              <w:rPr>
                <w:rFonts w:hint="eastAsia" w:ascii="Times New Roman" w:hAnsi="Times New Roman" w:eastAsia="方正仿宋简体"/>
                <w:color w:val="000000"/>
                <w:kern w:val="0"/>
                <w:sz w:val="28"/>
                <w:szCs w:val="28"/>
              </w:rPr>
              <w:t>港澳青少年交流基地数量（个）</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4</w:t>
            </w:r>
          </w:p>
        </w:tc>
        <w:tc>
          <w:tcPr>
            <w:tcW w:w="1329" w:type="dxa"/>
            <w:noWrap w:val="0"/>
            <w:vAlign w:val="top"/>
          </w:tcPr>
          <w:p>
            <w:pPr>
              <w:pStyle w:val="18"/>
              <w:spacing w:line="400" w:lineRule="exact"/>
              <w:ind w:left="0" w:leftChars="0" w:firstLine="0"/>
              <w:jc w:val="center"/>
              <w:rPr>
                <w:rFonts w:hint="eastAsia"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 w:hRule="atLeast"/>
        </w:trPr>
        <w:tc>
          <w:tcPr>
            <w:tcW w:w="998" w:type="dxa"/>
            <w:vMerge w:val="continue"/>
            <w:noWrap w:val="0"/>
            <w:vAlign w:val="top"/>
          </w:tcPr>
          <w:p>
            <w:pPr>
              <w:pStyle w:val="18"/>
              <w:spacing w:line="400" w:lineRule="exact"/>
              <w:ind w:left="0" w:leftChars="0" w:firstLine="560" w:firstLineChars="200"/>
              <w:rPr>
                <w:rFonts w:ascii="Times New Roman" w:hAnsi="Times New Roman" w:eastAsia="方正仿宋简体"/>
                <w:color w:val="000000"/>
                <w:kern w:val="0"/>
                <w:sz w:val="28"/>
                <w:szCs w:val="28"/>
              </w:rPr>
            </w:pP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4"/>
                <w:szCs w:val="24"/>
              </w:rPr>
            </w:pPr>
            <w:r>
              <w:rPr>
                <w:rFonts w:hint="eastAsia" w:ascii="Times New Roman" w:hAnsi="Times New Roman" w:eastAsia="方正仿宋简体"/>
                <w:color w:val="000000"/>
                <w:kern w:val="0"/>
                <w:sz w:val="24"/>
                <w:szCs w:val="24"/>
              </w:rPr>
              <w:t>侨务品牌活动吸引华侨华人和港澳台同胞参与人次</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36000</w:t>
            </w:r>
          </w:p>
        </w:tc>
        <w:tc>
          <w:tcPr>
            <w:tcW w:w="1329" w:type="dxa"/>
            <w:noWrap w:val="0"/>
            <w:vAlign w:val="top"/>
          </w:tcPr>
          <w:p>
            <w:pPr>
              <w:pStyle w:val="18"/>
              <w:spacing w:line="400" w:lineRule="exact"/>
              <w:ind w:left="0" w:leftChars="0" w:firstLine="0"/>
              <w:jc w:val="center"/>
              <w:rPr>
                <w:rFonts w:hint="default"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 w:hRule="atLeast"/>
        </w:trPr>
        <w:tc>
          <w:tcPr>
            <w:tcW w:w="998" w:type="dxa"/>
            <w:vMerge w:val="continue"/>
            <w:noWrap w:val="0"/>
            <w:vAlign w:val="top"/>
          </w:tcPr>
          <w:p>
            <w:pPr>
              <w:pStyle w:val="18"/>
              <w:spacing w:line="400" w:lineRule="exact"/>
              <w:ind w:left="0" w:leftChars="0" w:firstLine="560" w:firstLineChars="200"/>
              <w:rPr>
                <w:rFonts w:ascii="Times New Roman" w:hAnsi="Times New Roman" w:eastAsia="方正仿宋简体"/>
                <w:color w:val="000000"/>
                <w:kern w:val="0"/>
                <w:sz w:val="28"/>
                <w:szCs w:val="28"/>
              </w:rPr>
            </w:pP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江门海外侨团侨领主要参与建设的华文学校数量（个）</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20</w:t>
            </w:r>
          </w:p>
        </w:tc>
        <w:tc>
          <w:tcPr>
            <w:tcW w:w="1329" w:type="dxa"/>
            <w:noWrap w:val="0"/>
            <w:vAlign w:val="top"/>
          </w:tcPr>
          <w:p>
            <w:pPr>
              <w:pStyle w:val="18"/>
              <w:spacing w:line="400" w:lineRule="exact"/>
              <w:ind w:left="0" w:leftChars="0" w:firstLine="0"/>
              <w:jc w:val="center"/>
              <w:rPr>
                <w:rFonts w:hint="eastAsia"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 w:hRule="atLeast"/>
        </w:trPr>
        <w:tc>
          <w:tcPr>
            <w:tcW w:w="998" w:type="dxa"/>
            <w:vMerge w:val="continue"/>
            <w:noWrap w:val="0"/>
            <w:vAlign w:val="top"/>
          </w:tcPr>
          <w:p>
            <w:pPr>
              <w:pStyle w:val="18"/>
              <w:spacing w:line="400" w:lineRule="exact"/>
              <w:ind w:left="0" w:leftChars="0" w:firstLine="560" w:firstLineChars="200"/>
              <w:rPr>
                <w:rFonts w:ascii="Times New Roman" w:hAnsi="Times New Roman" w:eastAsia="方正仿宋简体"/>
                <w:color w:val="000000"/>
                <w:kern w:val="0"/>
                <w:sz w:val="28"/>
                <w:szCs w:val="28"/>
              </w:rPr>
            </w:pP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侨界名人故居保护名单数量（个）</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2</w:t>
            </w:r>
            <w:r>
              <w:rPr>
                <w:rFonts w:hint="eastAsia" w:ascii="Times New Roman" w:hAnsi="Times New Roman" w:eastAsia="方正仿宋简体"/>
                <w:color w:val="000000"/>
                <w:kern w:val="0"/>
                <w:sz w:val="28"/>
                <w:szCs w:val="28"/>
              </w:rPr>
              <w:t>2</w:t>
            </w:r>
          </w:p>
        </w:tc>
        <w:tc>
          <w:tcPr>
            <w:tcW w:w="1329" w:type="dxa"/>
            <w:noWrap w:val="0"/>
            <w:vAlign w:val="top"/>
          </w:tcPr>
          <w:p>
            <w:pPr>
              <w:pStyle w:val="18"/>
              <w:spacing w:line="400" w:lineRule="exact"/>
              <w:ind w:left="0" w:leftChars="0" w:firstLine="0"/>
              <w:jc w:val="center"/>
              <w:rPr>
                <w:rFonts w:hint="eastAsia"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 w:hRule="atLeast"/>
        </w:trPr>
        <w:tc>
          <w:tcPr>
            <w:tcW w:w="998" w:type="dxa"/>
            <w:vMerge w:val="restart"/>
            <w:noWrap w:val="0"/>
            <w:vAlign w:val="center"/>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经贸合作</w:t>
            </w: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港澳和</w:t>
            </w:r>
            <w:r>
              <w:rPr>
                <w:rFonts w:ascii="Times New Roman" w:hAnsi="Times New Roman" w:eastAsia="方正仿宋简体"/>
                <w:color w:val="000000"/>
                <w:kern w:val="0"/>
                <w:sz w:val="28"/>
                <w:szCs w:val="28"/>
              </w:rPr>
              <w:t>侨资企业数量（家）</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4</w:t>
            </w:r>
            <w:r>
              <w:rPr>
                <w:rFonts w:hint="eastAsia" w:ascii="Times New Roman" w:hAnsi="Times New Roman" w:eastAsia="方正仿宋简体"/>
                <w:color w:val="000000"/>
                <w:kern w:val="0"/>
                <w:sz w:val="28"/>
                <w:szCs w:val="28"/>
              </w:rPr>
              <w:t>3</w:t>
            </w:r>
            <w:r>
              <w:rPr>
                <w:rFonts w:ascii="Times New Roman" w:hAnsi="Times New Roman" w:eastAsia="方正仿宋简体"/>
                <w:color w:val="000000"/>
                <w:kern w:val="0"/>
                <w:sz w:val="28"/>
                <w:szCs w:val="28"/>
              </w:rPr>
              <w:t>00</w:t>
            </w:r>
          </w:p>
        </w:tc>
        <w:tc>
          <w:tcPr>
            <w:tcW w:w="1329" w:type="dxa"/>
            <w:noWrap w:val="0"/>
            <w:vAlign w:val="top"/>
          </w:tcPr>
          <w:p>
            <w:pPr>
              <w:pStyle w:val="18"/>
              <w:spacing w:line="400" w:lineRule="exact"/>
              <w:ind w:left="0" w:leftChars="0" w:firstLine="0"/>
              <w:jc w:val="center"/>
              <w:rPr>
                <w:rFonts w:hint="default"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 w:hRule="atLeast"/>
        </w:trPr>
        <w:tc>
          <w:tcPr>
            <w:tcW w:w="998" w:type="dxa"/>
            <w:vMerge w:val="continue"/>
            <w:noWrap w:val="0"/>
            <w:vAlign w:val="top"/>
          </w:tcPr>
          <w:p>
            <w:pPr>
              <w:pStyle w:val="18"/>
              <w:spacing w:line="400" w:lineRule="exact"/>
              <w:ind w:left="0" w:leftChars="0" w:firstLine="560" w:firstLineChars="200"/>
              <w:rPr>
                <w:rFonts w:ascii="Times New Roman" w:hAnsi="Times New Roman" w:eastAsia="方正仿宋简体"/>
                <w:color w:val="000000"/>
                <w:kern w:val="0"/>
                <w:sz w:val="28"/>
                <w:szCs w:val="28"/>
              </w:rPr>
            </w:pP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规模以上</w:t>
            </w:r>
            <w:r>
              <w:rPr>
                <w:rFonts w:hint="eastAsia" w:ascii="Times New Roman" w:hAnsi="Times New Roman" w:eastAsia="方正仿宋简体"/>
                <w:color w:val="000000"/>
                <w:kern w:val="0"/>
                <w:sz w:val="28"/>
                <w:szCs w:val="28"/>
              </w:rPr>
              <w:t>港澳和</w:t>
            </w:r>
            <w:r>
              <w:rPr>
                <w:rFonts w:ascii="Times New Roman" w:hAnsi="Times New Roman" w:eastAsia="方正仿宋简体"/>
                <w:color w:val="000000"/>
                <w:kern w:val="0"/>
                <w:sz w:val="28"/>
                <w:szCs w:val="28"/>
              </w:rPr>
              <w:t>侨资企业数量（家）</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90</w:t>
            </w:r>
            <w:r>
              <w:rPr>
                <w:rFonts w:hint="eastAsia" w:ascii="Times New Roman" w:hAnsi="Times New Roman" w:eastAsia="方正仿宋简体"/>
                <w:color w:val="000000"/>
                <w:kern w:val="0"/>
                <w:sz w:val="28"/>
                <w:szCs w:val="28"/>
              </w:rPr>
              <w:t>0</w:t>
            </w:r>
          </w:p>
        </w:tc>
        <w:tc>
          <w:tcPr>
            <w:tcW w:w="1329" w:type="dxa"/>
            <w:noWrap w:val="0"/>
            <w:vAlign w:val="top"/>
          </w:tcPr>
          <w:p>
            <w:pPr>
              <w:pStyle w:val="18"/>
              <w:spacing w:line="400" w:lineRule="exact"/>
              <w:ind w:left="0" w:leftChars="0" w:firstLine="0"/>
              <w:jc w:val="center"/>
              <w:rPr>
                <w:rFonts w:hint="default"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 w:hRule="atLeast"/>
        </w:trPr>
        <w:tc>
          <w:tcPr>
            <w:tcW w:w="998" w:type="dxa"/>
            <w:vMerge w:val="continue"/>
            <w:noWrap w:val="0"/>
            <w:vAlign w:val="top"/>
          </w:tcPr>
          <w:p>
            <w:pPr>
              <w:pStyle w:val="18"/>
              <w:spacing w:line="400" w:lineRule="exact"/>
              <w:ind w:left="0" w:leftChars="0" w:firstLine="560" w:firstLineChars="200"/>
              <w:rPr>
                <w:rFonts w:ascii="Times New Roman" w:hAnsi="Times New Roman" w:eastAsia="方正仿宋简体"/>
                <w:color w:val="000000"/>
                <w:kern w:val="0"/>
                <w:sz w:val="28"/>
                <w:szCs w:val="28"/>
              </w:rPr>
            </w:pP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港澳和侨资高新技术企业数量（家）</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340</w:t>
            </w:r>
          </w:p>
        </w:tc>
        <w:tc>
          <w:tcPr>
            <w:tcW w:w="1329" w:type="dxa"/>
            <w:noWrap w:val="0"/>
            <w:vAlign w:val="top"/>
          </w:tcPr>
          <w:p>
            <w:pPr>
              <w:pStyle w:val="18"/>
              <w:spacing w:line="400" w:lineRule="exact"/>
              <w:ind w:left="0" w:leftChars="0" w:firstLine="0"/>
              <w:jc w:val="center"/>
              <w:rPr>
                <w:rFonts w:hint="default"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 w:hRule="atLeast"/>
        </w:trPr>
        <w:tc>
          <w:tcPr>
            <w:tcW w:w="998" w:type="dxa"/>
            <w:vMerge w:val="continue"/>
            <w:noWrap w:val="0"/>
            <w:vAlign w:val="top"/>
          </w:tcPr>
          <w:p>
            <w:pPr>
              <w:pStyle w:val="18"/>
              <w:spacing w:line="400" w:lineRule="exact"/>
              <w:ind w:left="0" w:leftChars="0" w:firstLine="560" w:firstLineChars="200"/>
              <w:rPr>
                <w:rFonts w:ascii="Times New Roman" w:hAnsi="Times New Roman" w:eastAsia="方正仿宋简体"/>
                <w:color w:val="000000"/>
                <w:kern w:val="0"/>
                <w:sz w:val="28"/>
                <w:szCs w:val="28"/>
              </w:rPr>
            </w:pPr>
          </w:p>
        </w:tc>
        <w:tc>
          <w:tcPr>
            <w:tcW w:w="5518" w:type="dxa"/>
            <w:noWrap w:val="0"/>
            <w:vAlign w:val="top"/>
          </w:tcPr>
          <w:p>
            <w:pPr>
              <w:pStyle w:val="18"/>
              <w:spacing w:line="400" w:lineRule="exact"/>
              <w:ind w:left="0" w:leftChars="0" w:firstLine="0"/>
              <w:jc w:val="left"/>
              <w:rPr>
                <w:rFonts w:ascii="Times New Roman" w:hAnsi="Times New Roman" w:eastAsia="方正仿宋简体"/>
                <w:color w:val="000000"/>
                <w:kern w:val="0"/>
                <w:sz w:val="28"/>
                <w:szCs w:val="28"/>
              </w:rPr>
            </w:pPr>
            <w:bookmarkStart w:id="29" w:name="_Hlk135990563"/>
            <w:r>
              <w:rPr>
                <w:rFonts w:hint="eastAsia" w:ascii="Times New Roman" w:hAnsi="Times New Roman" w:eastAsia="方正仿宋简体"/>
                <w:color w:val="000000"/>
                <w:kern w:val="0"/>
                <w:sz w:val="28"/>
                <w:szCs w:val="28"/>
              </w:rPr>
              <w:t>“</w:t>
            </w:r>
            <w:r>
              <w:rPr>
                <w:rFonts w:ascii="Times New Roman" w:hAnsi="Times New Roman" w:eastAsia="方正仿宋简体"/>
                <w:color w:val="000000"/>
                <w:kern w:val="0"/>
                <w:sz w:val="28"/>
                <w:szCs w:val="28"/>
              </w:rPr>
              <w:t>侨梦苑</w:t>
            </w:r>
            <w:r>
              <w:rPr>
                <w:rFonts w:hint="eastAsia" w:ascii="Times New Roman" w:hAnsi="Times New Roman" w:eastAsia="方正仿宋简体"/>
                <w:color w:val="000000"/>
                <w:kern w:val="0"/>
                <w:sz w:val="28"/>
                <w:szCs w:val="28"/>
              </w:rPr>
              <w:t>”创新创业基地</w:t>
            </w:r>
            <w:bookmarkEnd w:id="29"/>
            <w:r>
              <w:rPr>
                <w:rFonts w:hint="eastAsia" w:ascii="Times New Roman" w:hAnsi="Times New Roman" w:eastAsia="方正仿宋简体"/>
                <w:color w:val="000000"/>
                <w:kern w:val="0"/>
                <w:sz w:val="28"/>
                <w:szCs w:val="28"/>
              </w:rPr>
              <w:t>数量（个）</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12</w:t>
            </w:r>
          </w:p>
        </w:tc>
        <w:tc>
          <w:tcPr>
            <w:tcW w:w="1329" w:type="dxa"/>
            <w:noWrap w:val="0"/>
            <w:vAlign w:val="top"/>
          </w:tcPr>
          <w:p>
            <w:pPr>
              <w:pStyle w:val="18"/>
              <w:spacing w:line="400" w:lineRule="exact"/>
              <w:ind w:left="0" w:leftChars="0" w:firstLine="0"/>
              <w:jc w:val="center"/>
              <w:rPr>
                <w:rFonts w:hint="eastAsia"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 w:hRule="atLeast"/>
        </w:trPr>
        <w:tc>
          <w:tcPr>
            <w:tcW w:w="998" w:type="dxa"/>
            <w:vMerge w:val="continue"/>
            <w:noWrap w:val="0"/>
            <w:vAlign w:val="top"/>
          </w:tcPr>
          <w:p>
            <w:pPr>
              <w:pStyle w:val="18"/>
              <w:spacing w:line="400" w:lineRule="exact"/>
              <w:ind w:left="0" w:leftChars="0" w:firstLine="560" w:firstLineChars="200"/>
              <w:rPr>
                <w:rFonts w:ascii="Times New Roman" w:hAnsi="Times New Roman" w:eastAsia="方正仿宋简体"/>
                <w:color w:val="000000"/>
                <w:kern w:val="0"/>
                <w:sz w:val="28"/>
                <w:szCs w:val="28"/>
              </w:rPr>
            </w:pP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新增实际吸收港澳和侨资总额（亿元）</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200</w:t>
            </w:r>
          </w:p>
        </w:tc>
        <w:tc>
          <w:tcPr>
            <w:tcW w:w="1329" w:type="dxa"/>
            <w:noWrap w:val="0"/>
            <w:vAlign w:val="top"/>
          </w:tcPr>
          <w:p>
            <w:pPr>
              <w:pStyle w:val="18"/>
              <w:spacing w:line="400" w:lineRule="exact"/>
              <w:ind w:left="0" w:leftChars="0" w:firstLine="0"/>
              <w:jc w:val="center"/>
              <w:rPr>
                <w:rFonts w:hint="default"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rPr>
        <w:tc>
          <w:tcPr>
            <w:tcW w:w="998" w:type="dxa"/>
            <w:vMerge w:val="restart"/>
            <w:noWrap w:val="0"/>
            <w:vAlign w:val="center"/>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维护</w:t>
            </w:r>
          </w:p>
          <w:p>
            <w:pPr>
              <w:pStyle w:val="18"/>
              <w:spacing w:line="400" w:lineRule="exact"/>
              <w:ind w:left="0" w:leftChars="0" w:firstLine="0"/>
              <w:jc w:val="center"/>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权益</w:t>
            </w: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华侨华人公共法律服务平台数量（个）</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8</w:t>
            </w:r>
          </w:p>
        </w:tc>
        <w:tc>
          <w:tcPr>
            <w:tcW w:w="1329" w:type="dxa"/>
            <w:noWrap w:val="0"/>
            <w:vAlign w:val="top"/>
          </w:tcPr>
          <w:p>
            <w:pPr>
              <w:pStyle w:val="18"/>
              <w:spacing w:line="400" w:lineRule="exact"/>
              <w:ind w:left="0" w:leftChars="0" w:firstLine="0"/>
              <w:jc w:val="center"/>
              <w:rPr>
                <w:rFonts w:hint="eastAsia"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rPr>
        <w:tc>
          <w:tcPr>
            <w:tcW w:w="998" w:type="dxa"/>
            <w:vMerge w:val="continue"/>
            <w:noWrap w:val="0"/>
            <w:vAlign w:val="top"/>
          </w:tcPr>
          <w:p>
            <w:pPr>
              <w:pStyle w:val="18"/>
              <w:spacing w:line="400" w:lineRule="exact"/>
              <w:ind w:left="0" w:leftChars="0" w:firstLine="560" w:firstLineChars="200"/>
              <w:rPr>
                <w:rFonts w:ascii="Times New Roman" w:hAnsi="Times New Roman" w:eastAsia="方正仿宋简体"/>
                <w:color w:val="000000"/>
                <w:kern w:val="0"/>
                <w:sz w:val="28"/>
                <w:szCs w:val="28"/>
              </w:rPr>
            </w:pP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涉侨</w:t>
            </w:r>
            <w:r>
              <w:rPr>
                <w:rFonts w:hint="eastAsia" w:ascii="Times New Roman" w:hAnsi="Times New Roman" w:eastAsia="方正仿宋简体"/>
                <w:color w:val="000000"/>
                <w:kern w:val="0"/>
                <w:sz w:val="28"/>
                <w:szCs w:val="28"/>
              </w:rPr>
              <w:t>纠纷</w:t>
            </w:r>
            <w:r>
              <w:rPr>
                <w:rFonts w:ascii="Times New Roman" w:hAnsi="Times New Roman" w:eastAsia="方正仿宋简体"/>
                <w:color w:val="000000"/>
                <w:kern w:val="0"/>
                <w:sz w:val="28"/>
                <w:szCs w:val="28"/>
              </w:rPr>
              <w:t>多元化解工作室数量（个）</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60</w:t>
            </w:r>
          </w:p>
        </w:tc>
        <w:tc>
          <w:tcPr>
            <w:tcW w:w="1329" w:type="dxa"/>
            <w:noWrap w:val="0"/>
            <w:vAlign w:val="top"/>
          </w:tcPr>
          <w:p>
            <w:pPr>
              <w:pStyle w:val="18"/>
              <w:spacing w:line="400" w:lineRule="exact"/>
              <w:ind w:left="0" w:leftChars="0" w:firstLine="0"/>
              <w:jc w:val="center"/>
              <w:rPr>
                <w:rFonts w:hint="eastAsia"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rPr>
        <w:tc>
          <w:tcPr>
            <w:tcW w:w="998" w:type="dxa"/>
            <w:vMerge w:val="continue"/>
            <w:noWrap w:val="0"/>
            <w:vAlign w:val="top"/>
          </w:tcPr>
          <w:p>
            <w:pPr>
              <w:pStyle w:val="18"/>
              <w:spacing w:line="400" w:lineRule="exact"/>
              <w:ind w:left="0" w:leftChars="0" w:firstLine="560" w:firstLineChars="200"/>
              <w:rPr>
                <w:rFonts w:ascii="Times New Roman" w:hAnsi="Times New Roman" w:eastAsia="方正仿宋简体"/>
                <w:color w:val="000000"/>
                <w:kern w:val="0"/>
                <w:sz w:val="28"/>
                <w:szCs w:val="28"/>
              </w:rPr>
            </w:pP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侨胞之家数量（个）</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270</w:t>
            </w:r>
          </w:p>
        </w:tc>
        <w:tc>
          <w:tcPr>
            <w:tcW w:w="1329" w:type="dxa"/>
            <w:noWrap w:val="0"/>
            <w:vAlign w:val="top"/>
          </w:tcPr>
          <w:p>
            <w:pPr>
              <w:pStyle w:val="18"/>
              <w:spacing w:line="400" w:lineRule="exact"/>
              <w:ind w:left="0" w:leftChars="0" w:firstLine="0"/>
              <w:jc w:val="center"/>
              <w:rPr>
                <w:rFonts w:hint="default"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rPr>
        <w:tc>
          <w:tcPr>
            <w:tcW w:w="998" w:type="dxa"/>
            <w:vMerge w:val="continue"/>
            <w:noWrap w:val="0"/>
            <w:vAlign w:val="top"/>
          </w:tcPr>
          <w:p>
            <w:pPr>
              <w:pStyle w:val="18"/>
              <w:spacing w:line="400" w:lineRule="exact"/>
              <w:ind w:left="0" w:leftChars="0" w:firstLine="560" w:firstLineChars="200"/>
              <w:rPr>
                <w:rFonts w:ascii="Times New Roman" w:hAnsi="Times New Roman" w:eastAsia="方正仿宋简体"/>
                <w:color w:val="000000"/>
                <w:kern w:val="0"/>
                <w:sz w:val="28"/>
                <w:szCs w:val="28"/>
              </w:rPr>
            </w:pP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检侨联络</w:t>
            </w:r>
            <w:r>
              <w:rPr>
                <w:rFonts w:hint="eastAsia" w:ascii="Times New Roman" w:hAnsi="Times New Roman" w:eastAsia="方正仿宋简体"/>
                <w:color w:val="000000"/>
                <w:kern w:val="0"/>
                <w:sz w:val="28"/>
                <w:szCs w:val="28"/>
              </w:rPr>
              <w:t>服务</w:t>
            </w:r>
            <w:r>
              <w:rPr>
                <w:rFonts w:ascii="Times New Roman" w:hAnsi="Times New Roman" w:eastAsia="方正仿宋简体"/>
                <w:color w:val="000000"/>
                <w:kern w:val="0"/>
                <w:sz w:val="28"/>
                <w:szCs w:val="28"/>
              </w:rPr>
              <w:t>站数量（个）</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7</w:t>
            </w:r>
          </w:p>
        </w:tc>
        <w:tc>
          <w:tcPr>
            <w:tcW w:w="1329" w:type="dxa"/>
            <w:noWrap w:val="0"/>
            <w:vAlign w:val="top"/>
          </w:tcPr>
          <w:p>
            <w:pPr>
              <w:pStyle w:val="18"/>
              <w:spacing w:line="400" w:lineRule="exact"/>
              <w:ind w:left="0" w:leftChars="0" w:firstLine="0"/>
              <w:jc w:val="center"/>
              <w:rPr>
                <w:rFonts w:hint="eastAsia"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998" w:type="dxa"/>
            <w:vMerge w:val="continue"/>
            <w:noWrap w:val="0"/>
            <w:vAlign w:val="top"/>
          </w:tcPr>
          <w:p>
            <w:pPr>
              <w:pStyle w:val="18"/>
              <w:spacing w:line="400" w:lineRule="exact"/>
              <w:ind w:left="0" w:leftChars="0" w:firstLine="560" w:firstLineChars="200"/>
              <w:rPr>
                <w:rFonts w:ascii="Times New Roman" w:hAnsi="Times New Roman" w:eastAsia="方正仿宋简体"/>
                <w:color w:val="000000"/>
                <w:kern w:val="0"/>
                <w:sz w:val="28"/>
                <w:szCs w:val="28"/>
              </w:rPr>
            </w:pP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侨务工作</w:t>
            </w:r>
            <w:r>
              <w:rPr>
                <w:rFonts w:ascii="Times New Roman" w:hAnsi="Times New Roman" w:eastAsia="方正仿宋简体"/>
                <w:color w:val="000000"/>
                <w:kern w:val="0"/>
                <w:sz w:val="28"/>
                <w:szCs w:val="28"/>
              </w:rPr>
              <w:t>培训班数量（</w:t>
            </w:r>
            <w:r>
              <w:rPr>
                <w:rFonts w:hint="eastAsia" w:ascii="Times New Roman" w:hAnsi="Times New Roman" w:eastAsia="方正仿宋简体"/>
                <w:color w:val="000000"/>
                <w:kern w:val="0"/>
                <w:sz w:val="28"/>
                <w:szCs w:val="28"/>
              </w:rPr>
              <w:t>个</w:t>
            </w:r>
            <w:r>
              <w:rPr>
                <w:rFonts w:ascii="Times New Roman" w:hAnsi="Times New Roman" w:eastAsia="方正仿宋简体"/>
                <w:color w:val="000000"/>
                <w:kern w:val="0"/>
                <w:sz w:val="28"/>
                <w:szCs w:val="28"/>
              </w:rPr>
              <w:t>）</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4</w:t>
            </w:r>
            <w:r>
              <w:rPr>
                <w:rFonts w:ascii="Times New Roman" w:hAnsi="Times New Roman" w:eastAsia="方正仿宋简体"/>
                <w:color w:val="000000"/>
                <w:kern w:val="0"/>
                <w:sz w:val="28"/>
                <w:szCs w:val="28"/>
              </w:rPr>
              <w:t>0</w:t>
            </w:r>
          </w:p>
        </w:tc>
        <w:tc>
          <w:tcPr>
            <w:tcW w:w="1329" w:type="dxa"/>
            <w:noWrap w:val="0"/>
            <w:vAlign w:val="top"/>
          </w:tcPr>
          <w:p>
            <w:pPr>
              <w:pStyle w:val="18"/>
              <w:spacing w:line="400" w:lineRule="exact"/>
              <w:ind w:left="0" w:leftChars="0" w:firstLine="0"/>
              <w:jc w:val="center"/>
              <w:rPr>
                <w:rFonts w:hint="eastAsia"/>
                <w:lang w:val="en-US" w:eastAsia="zh-CN"/>
              </w:rPr>
            </w:pPr>
            <w:r>
              <w:rPr>
                <w:rFonts w:hint="eastAsia" w:ascii="Times New Roman" w:hAnsi="Times New Roman" w:eastAsia="方正仿宋简体"/>
                <w:color w:val="000000"/>
                <w:kern w:val="0"/>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rPr>
        <w:tc>
          <w:tcPr>
            <w:tcW w:w="998" w:type="dxa"/>
            <w:vMerge w:val="continue"/>
            <w:noWrap w:val="0"/>
            <w:vAlign w:val="top"/>
          </w:tcPr>
          <w:p>
            <w:pPr>
              <w:pStyle w:val="18"/>
              <w:spacing w:line="400" w:lineRule="exact"/>
              <w:ind w:left="0" w:leftChars="0" w:firstLine="560" w:firstLineChars="200"/>
              <w:rPr>
                <w:rFonts w:ascii="Times New Roman" w:hAnsi="Times New Roman" w:eastAsia="方正仿宋简体"/>
                <w:color w:val="000000"/>
                <w:kern w:val="0"/>
                <w:sz w:val="28"/>
                <w:szCs w:val="28"/>
              </w:rPr>
            </w:pP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侨务干部培训人次</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hint="eastAsia" w:ascii="Times New Roman" w:hAnsi="Times New Roman" w:eastAsia="方正仿宋简体"/>
                <w:color w:val="000000"/>
                <w:kern w:val="0"/>
                <w:sz w:val="28"/>
                <w:szCs w:val="28"/>
              </w:rPr>
              <w:t>1600</w:t>
            </w:r>
          </w:p>
        </w:tc>
        <w:tc>
          <w:tcPr>
            <w:tcW w:w="1329" w:type="dxa"/>
            <w:noWrap w:val="0"/>
            <w:vAlign w:val="top"/>
          </w:tcPr>
          <w:p>
            <w:pPr>
              <w:pStyle w:val="18"/>
              <w:spacing w:line="400" w:lineRule="exact"/>
              <w:ind w:left="0" w:leftChars="0" w:firstLine="0"/>
              <w:jc w:val="center"/>
              <w:rPr>
                <w:rFonts w:hint="default"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998" w:type="dxa"/>
            <w:vMerge w:val="continue"/>
            <w:noWrap w:val="0"/>
            <w:vAlign w:val="top"/>
          </w:tcPr>
          <w:p>
            <w:pPr>
              <w:pStyle w:val="18"/>
              <w:spacing w:line="400" w:lineRule="exact"/>
              <w:ind w:left="0" w:leftChars="0" w:firstLine="560" w:firstLineChars="200"/>
              <w:rPr>
                <w:rFonts w:ascii="Times New Roman" w:hAnsi="Times New Roman" w:eastAsia="方正仿宋简体"/>
                <w:color w:val="000000"/>
                <w:kern w:val="0"/>
                <w:sz w:val="28"/>
                <w:szCs w:val="28"/>
              </w:rPr>
            </w:pPr>
          </w:p>
        </w:tc>
        <w:tc>
          <w:tcPr>
            <w:tcW w:w="5518" w:type="dxa"/>
            <w:noWrap w:val="0"/>
            <w:vAlign w:val="top"/>
          </w:tcPr>
          <w:p>
            <w:pPr>
              <w:pStyle w:val="18"/>
              <w:spacing w:line="400" w:lineRule="exact"/>
              <w:ind w:left="0" w:leftChars="0" w:firstLine="0"/>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华侨华人人才</w:t>
            </w:r>
            <w:r>
              <w:rPr>
                <w:rFonts w:hint="eastAsia" w:ascii="Times New Roman" w:hAnsi="Times New Roman" w:eastAsia="方正仿宋简体"/>
                <w:color w:val="000000"/>
                <w:kern w:val="0"/>
                <w:sz w:val="28"/>
                <w:szCs w:val="28"/>
              </w:rPr>
              <w:t>队伍</w:t>
            </w:r>
            <w:r>
              <w:rPr>
                <w:rFonts w:ascii="Times New Roman" w:hAnsi="Times New Roman" w:eastAsia="方正仿宋简体"/>
                <w:color w:val="000000"/>
                <w:kern w:val="0"/>
                <w:sz w:val="28"/>
                <w:szCs w:val="28"/>
              </w:rPr>
              <w:t>总量（人）</w:t>
            </w:r>
          </w:p>
        </w:tc>
        <w:tc>
          <w:tcPr>
            <w:tcW w:w="1519" w:type="dxa"/>
            <w:noWrap w:val="0"/>
            <w:vAlign w:val="top"/>
          </w:tcPr>
          <w:p>
            <w:pPr>
              <w:pStyle w:val="18"/>
              <w:spacing w:line="400" w:lineRule="exact"/>
              <w:ind w:left="0" w:leftChars="0" w:firstLine="0"/>
              <w:jc w:val="center"/>
              <w:rPr>
                <w:rFonts w:ascii="Times New Roman" w:hAnsi="Times New Roman" w:eastAsia="方正仿宋简体"/>
                <w:color w:val="000000"/>
                <w:kern w:val="0"/>
                <w:sz w:val="28"/>
                <w:szCs w:val="28"/>
              </w:rPr>
            </w:pPr>
            <w:r>
              <w:rPr>
                <w:rFonts w:ascii="Times New Roman" w:hAnsi="Times New Roman" w:eastAsia="方正仿宋简体"/>
                <w:color w:val="000000"/>
                <w:kern w:val="0"/>
                <w:sz w:val="28"/>
                <w:szCs w:val="28"/>
              </w:rPr>
              <w:t>28100</w:t>
            </w:r>
          </w:p>
        </w:tc>
        <w:tc>
          <w:tcPr>
            <w:tcW w:w="1329" w:type="dxa"/>
            <w:noWrap w:val="0"/>
            <w:vAlign w:val="top"/>
          </w:tcPr>
          <w:p>
            <w:pPr>
              <w:pStyle w:val="18"/>
              <w:spacing w:line="400" w:lineRule="exact"/>
              <w:ind w:left="0" w:leftChars="0" w:firstLine="0"/>
              <w:jc w:val="center"/>
              <w:rPr>
                <w:rFonts w:hint="default" w:ascii="Times New Roman" w:hAnsi="Times New Roman" w:eastAsia="方正仿宋简体"/>
                <w:color w:val="000000"/>
                <w:kern w:val="0"/>
                <w:sz w:val="28"/>
                <w:szCs w:val="28"/>
                <w:lang w:val="en-US" w:eastAsia="zh-CN"/>
              </w:rPr>
            </w:pPr>
            <w:r>
              <w:rPr>
                <w:rFonts w:hint="eastAsia" w:ascii="Times New Roman" w:hAnsi="Times New Roman" w:eastAsia="方正仿宋简体"/>
                <w:color w:val="000000"/>
                <w:kern w:val="0"/>
                <w:sz w:val="28"/>
                <w:szCs w:val="28"/>
                <w:lang w:val="en-US" w:eastAsia="zh-CN"/>
              </w:rPr>
              <w:t>2800</w:t>
            </w:r>
          </w:p>
        </w:tc>
      </w:tr>
    </w:tbl>
    <w:p>
      <w:pPr>
        <w:pStyle w:val="5"/>
      </w:pPr>
    </w:p>
    <w:p>
      <w:pPr>
        <w:pStyle w:val="3"/>
        <w:spacing w:line="600" w:lineRule="exact"/>
        <w:ind w:left="420"/>
        <w:rPr>
          <w:rFonts w:ascii="黑体" w:hAnsi="黑体"/>
          <w:sz w:val="34"/>
          <w:szCs w:val="34"/>
        </w:rPr>
      </w:pPr>
      <w:bookmarkStart w:id="30" w:name="_Toc166226809"/>
      <w:r>
        <w:rPr>
          <w:rFonts w:hint="eastAsia" w:ascii="黑体" w:hAnsi="黑体"/>
          <w:sz w:val="34"/>
          <w:szCs w:val="34"/>
        </w:rPr>
        <w:t>七、实施机制和保障措施</w:t>
      </w:r>
      <w:bookmarkEnd w:id="30"/>
    </w:p>
    <w:p>
      <w:pPr>
        <w:adjustRightInd w:val="0"/>
        <w:snapToGrid w:val="0"/>
        <w:spacing w:line="600" w:lineRule="exact"/>
        <w:ind w:firstLine="680" w:firstLineChars="200"/>
        <w:rPr>
          <w:rFonts w:ascii="仿宋" w:hAnsi="仿宋" w:eastAsia="仿宋" w:cs="华文仿宋"/>
          <w:bCs/>
          <w:sz w:val="34"/>
          <w:szCs w:val="34"/>
        </w:rPr>
      </w:pPr>
      <w:r>
        <w:rPr>
          <w:rFonts w:hint="eastAsia" w:ascii="仿宋" w:hAnsi="仿宋" w:eastAsia="仿宋" w:cs="华文仿宋"/>
          <w:bCs/>
          <w:sz w:val="34"/>
          <w:szCs w:val="34"/>
        </w:rPr>
        <w:t>牢固树立新发展理念，落实高质量发展要求，统筹规划管理，强化政策协同，更好地发挥规划的战略导向作用，健全实施机制，确保规划提出的任务落到实处。</w:t>
      </w:r>
    </w:p>
    <w:p>
      <w:pPr>
        <w:pStyle w:val="4"/>
        <w:spacing w:line="600" w:lineRule="exact"/>
        <w:ind w:left="420"/>
        <w:rPr>
          <w:rFonts w:ascii="方正楷体_GBK" w:hAnsi="仿宋" w:eastAsia="方正楷体_GBK"/>
          <w:sz w:val="34"/>
          <w:szCs w:val="34"/>
        </w:rPr>
      </w:pPr>
      <w:bookmarkStart w:id="31" w:name="_Toc166226810"/>
      <w:r>
        <w:rPr>
          <w:rFonts w:hint="eastAsia" w:ascii="方正楷体_GBK" w:hAnsi="仿宋" w:eastAsia="方正楷体_GBK"/>
          <w:sz w:val="34"/>
          <w:szCs w:val="34"/>
        </w:rPr>
        <w:t>（一）强化组织领导</w:t>
      </w:r>
      <w:bookmarkEnd w:id="31"/>
    </w:p>
    <w:p>
      <w:pPr>
        <w:adjustRightInd w:val="0"/>
        <w:snapToGrid w:val="0"/>
        <w:spacing w:line="600" w:lineRule="exact"/>
        <w:ind w:firstLine="680" w:firstLineChars="200"/>
        <w:rPr>
          <w:rFonts w:ascii="仿宋" w:hAnsi="仿宋" w:eastAsia="仿宋" w:cs="华文仿宋"/>
          <w:bCs/>
          <w:sz w:val="34"/>
          <w:szCs w:val="34"/>
        </w:rPr>
      </w:pPr>
      <w:r>
        <w:rPr>
          <w:rFonts w:hint="eastAsia" w:ascii="仿宋" w:hAnsi="仿宋" w:eastAsia="仿宋" w:cs="华文仿宋"/>
          <w:bCs/>
          <w:sz w:val="34"/>
          <w:szCs w:val="34"/>
        </w:rPr>
        <w:t>要进一步强化“大侨务”观念，成立“侨务强市”领导小组，提高政治站位，坚持和加强党对侨务工作的全面领导。切实发挥党领导的政治优势，坚决落实党把方向、谋大局、定政策、促改革的要求，增强“四个意识”、坚定“四个自信”、做到“两个维护”，确保侨务工作始终沿着正确的方向发展。明确各涉侨部门职责，加强工作衔接和信息共享，形成推动工作的合力。各街道（镇）、各部门结合实际，抓紧制定支持规划实施的具体政策和措施，做好相关政策衔接，明确职责分工、任务主体、目标要求，强化推进措施，提早谋划、及时解决规划推进实施中的相关问题，切实把各项工作落到实处。</w:t>
      </w:r>
    </w:p>
    <w:p>
      <w:pPr>
        <w:pStyle w:val="4"/>
        <w:spacing w:line="600" w:lineRule="exact"/>
        <w:ind w:left="420"/>
        <w:rPr>
          <w:rFonts w:ascii="方正楷体_GBK" w:eastAsia="方正楷体_GBK"/>
          <w:sz w:val="34"/>
          <w:szCs w:val="34"/>
        </w:rPr>
      </w:pPr>
      <w:bookmarkStart w:id="32" w:name="_Toc166226811"/>
      <w:r>
        <w:rPr>
          <w:rFonts w:hint="eastAsia" w:ascii="方正楷体_GBK" w:eastAsia="方正楷体_GBK"/>
          <w:sz w:val="34"/>
          <w:szCs w:val="34"/>
        </w:rPr>
        <w:t>（二）健全实施机制</w:t>
      </w:r>
      <w:bookmarkEnd w:id="32"/>
    </w:p>
    <w:p>
      <w:pPr>
        <w:adjustRightInd w:val="0"/>
        <w:snapToGrid w:val="0"/>
        <w:spacing w:line="600" w:lineRule="exact"/>
        <w:ind w:firstLine="680" w:firstLineChars="200"/>
        <w:rPr>
          <w:rFonts w:ascii="仿宋" w:hAnsi="仿宋" w:eastAsia="仿宋" w:cs="华文仿宋"/>
          <w:bCs/>
          <w:sz w:val="34"/>
          <w:szCs w:val="34"/>
        </w:rPr>
      </w:pPr>
      <w:r>
        <w:rPr>
          <w:rFonts w:hint="eastAsia" w:ascii="仿宋" w:hAnsi="仿宋" w:eastAsia="仿宋" w:cs="华文仿宋"/>
          <w:bCs/>
          <w:sz w:val="34"/>
          <w:szCs w:val="34"/>
        </w:rPr>
        <w:t>加强市委对侨务工作的统筹指导，健全党组织联系服务侨团机制。市</w:t>
      </w:r>
      <w:r>
        <w:rPr>
          <w:rFonts w:hint="eastAsia" w:ascii="仿宋" w:hAnsi="仿宋" w:eastAsia="仿宋" w:cs="华文仿宋"/>
          <w:bCs/>
          <w:sz w:val="34"/>
          <w:szCs w:val="34"/>
          <w:lang w:eastAsia="zh-CN"/>
        </w:rPr>
        <w:t>领导</w:t>
      </w:r>
      <w:r>
        <w:rPr>
          <w:rFonts w:hint="eastAsia" w:ascii="仿宋" w:hAnsi="仿宋" w:eastAsia="仿宋" w:cs="华文仿宋"/>
          <w:bCs/>
          <w:sz w:val="34"/>
          <w:szCs w:val="34"/>
        </w:rPr>
        <w:t>结对联系港澳及海外重点社团，各涉侨单位党组织、镇（街）党（工）委结对服务社团负责人，畅通党委政府与侨胞沟通渠道。强化市镇村三级侨务工作网络，健全和完善侨务工作体系机制。选优配强侨务干部队伍。聚焦能力素质提升，加强侨务干部思想淬炼、政治历练、实践锻炼、专业训练，不断提高侨务政策解读水平、侨情分析研判能力和解决实际问题能力，帮助侨务干部当好海外侨胞和归侨侨眷的贴心人，成为侨务工作的实干家。</w:t>
      </w:r>
    </w:p>
    <w:p>
      <w:pPr>
        <w:pStyle w:val="4"/>
        <w:spacing w:line="600" w:lineRule="exact"/>
        <w:ind w:left="420"/>
        <w:rPr>
          <w:rFonts w:ascii="方正楷体_GBK" w:eastAsia="方正楷体_GBK"/>
          <w:sz w:val="34"/>
          <w:szCs w:val="34"/>
        </w:rPr>
      </w:pPr>
      <w:bookmarkStart w:id="33" w:name="_Toc166226812"/>
      <w:r>
        <w:rPr>
          <w:rFonts w:hint="eastAsia" w:ascii="方正楷体_GBK" w:eastAsia="方正楷体_GBK"/>
          <w:sz w:val="34"/>
          <w:szCs w:val="34"/>
        </w:rPr>
        <w:t>（三）确保责任落实</w:t>
      </w:r>
      <w:bookmarkEnd w:id="33"/>
    </w:p>
    <w:p>
      <w:pPr>
        <w:adjustRightInd w:val="0"/>
        <w:snapToGrid w:val="0"/>
        <w:spacing w:line="600" w:lineRule="exact"/>
        <w:ind w:firstLine="680" w:firstLineChars="200"/>
        <w:rPr>
          <w:rFonts w:ascii="仿宋" w:hAnsi="仿宋" w:eastAsia="仿宋" w:cs="华文仿宋"/>
          <w:bCs/>
          <w:sz w:val="34"/>
          <w:szCs w:val="34"/>
        </w:rPr>
      </w:pPr>
      <w:r>
        <w:rPr>
          <w:rFonts w:hint="eastAsia" w:ascii="仿宋" w:hAnsi="仿宋" w:eastAsia="仿宋" w:cs="华文仿宋"/>
          <w:bCs/>
          <w:sz w:val="34"/>
          <w:szCs w:val="34"/>
        </w:rPr>
        <w:t>进一步强化侨务部门开展工作的经费保障，设立“侨务强市”专项资金，重点支持</w:t>
      </w:r>
      <w:r>
        <w:rPr>
          <w:rFonts w:hint="eastAsia" w:ascii="仿宋" w:hAnsi="仿宋" w:eastAsia="仿宋"/>
          <w:sz w:val="34"/>
          <w:szCs w:val="34"/>
        </w:rPr>
        <w:t>为侨公共服务工作体系</w:t>
      </w:r>
      <w:r>
        <w:rPr>
          <w:rFonts w:hint="eastAsia" w:ascii="仿宋" w:hAnsi="仿宋" w:eastAsia="仿宋" w:cs="华文仿宋"/>
          <w:bCs/>
          <w:sz w:val="34"/>
          <w:szCs w:val="34"/>
        </w:rPr>
        <w:t>建设、侨乡文化交流合作、</w:t>
      </w:r>
      <w:r>
        <w:rPr>
          <w:rFonts w:hint="eastAsia" w:ascii="仿宋" w:hAnsi="仿宋" w:eastAsia="仿宋" w:cs="仿宋"/>
          <w:bCs/>
          <w:sz w:val="34"/>
          <w:szCs w:val="34"/>
        </w:rPr>
        <w:t>“开平·世遗”“中国·赤坎”等城市品牌</w:t>
      </w:r>
      <w:r>
        <w:rPr>
          <w:rFonts w:hint="eastAsia" w:ascii="仿宋" w:hAnsi="仿宋" w:eastAsia="仿宋" w:cs="华文仿宋"/>
          <w:bCs/>
          <w:sz w:val="34"/>
          <w:szCs w:val="34"/>
        </w:rPr>
        <w:t>宣传、侨情普查等工作开展。进一步规范经费绩效管理，提高经费使用效益。</w:t>
      </w:r>
    </w:p>
    <w:p>
      <w:pPr>
        <w:adjustRightInd w:val="0"/>
        <w:snapToGrid w:val="0"/>
        <w:spacing w:line="600" w:lineRule="exact"/>
        <w:ind w:firstLine="680" w:firstLineChars="200"/>
        <w:rPr>
          <w:rFonts w:ascii="仿宋" w:hAnsi="仿宋" w:eastAsia="仿宋" w:cs="华文仿宋"/>
          <w:bCs/>
          <w:sz w:val="34"/>
          <w:szCs w:val="34"/>
        </w:rPr>
      </w:pPr>
      <w:r>
        <w:rPr>
          <w:rFonts w:hint="eastAsia" w:ascii="仿宋" w:hAnsi="仿宋" w:eastAsia="仿宋" w:cs="华文仿宋"/>
          <w:bCs/>
          <w:sz w:val="34"/>
          <w:szCs w:val="34"/>
        </w:rPr>
        <w:t>全市各级各有关单位要明确规划任务分工，列明工作清单，敢于改革创新，确保责任落实。市有关部门要加强工作指导与督导，强化动态管理，注意研究新情况、解决新问题、总结新经验，确保规划顺利实施。</w:t>
      </w:r>
    </w:p>
    <w:p>
      <w:pPr>
        <w:adjustRightInd w:val="0"/>
        <w:snapToGrid w:val="0"/>
        <w:spacing w:line="600" w:lineRule="exact"/>
        <w:ind w:firstLine="666" w:firstLineChars="196"/>
        <w:rPr>
          <w:rFonts w:ascii="仿宋" w:hAnsi="仿宋" w:eastAsia="仿宋" w:cs="华文仿宋"/>
          <w:bCs/>
          <w:sz w:val="34"/>
          <w:szCs w:val="3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华文中宋">
    <w:altName w:val="汉仪中宋简"/>
    <w:panose1 w:val="02010600040101010101"/>
    <w:charset w:val="86"/>
    <w:family w:val="auto"/>
    <w:pitch w:val="default"/>
    <w:sig w:usb0="00000000" w:usb1="00000000" w:usb2="00000010" w:usb3="00000000" w:csb0="0004009F" w:csb1="00000000"/>
  </w:font>
  <w:font w:name="等线">
    <w:altName w:val="汉仪中宋简"/>
    <w:panose1 w:val="02010600030101010101"/>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楷体_GB2312">
    <w:altName w:val="方正楷体_GBK"/>
    <w:panose1 w:val="00000000000000000000"/>
    <w:charset w:val="86"/>
    <w:family w:val="roma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简体">
    <w:altName w:val="方正仿宋_GBK"/>
    <w:panose1 w:val="02000000000000000000"/>
    <w:charset w:val="00"/>
    <w:family w:val="script"/>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3660664"/>
    </w:sdtPr>
    <w:sdtContent>
      <w:p>
        <w:pPr>
          <w:pStyle w:val="12"/>
          <w:jc w:val="center"/>
        </w:pPr>
        <w:r>
          <w:fldChar w:fldCharType="begin"/>
        </w:r>
        <w:r>
          <w:instrText xml:space="preserve">PAGE   \* MERGEFORMAT</w:instrText>
        </w:r>
        <w:r>
          <w:fldChar w:fldCharType="separate"/>
        </w:r>
        <w:r>
          <w:rPr>
            <w:lang w:val="zh-CN"/>
          </w:rPr>
          <w:t>20</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1ZmZmMTRkMTdiYjJjMjE2MWUyNjc4YzI1ZWNjZGIifQ=="/>
  </w:docVars>
  <w:rsids>
    <w:rsidRoot w:val="00907C38"/>
    <w:rsid w:val="00024F1D"/>
    <w:rsid w:val="00053D98"/>
    <w:rsid w:val="000750D2"/>
    <w:rsid w:val="00085CBE"/>
    <w:rsid w:val="000A6A52"/>
    <w:rsid w:val="000B44FD"/>
    <w:rsid w:val="00102C4A"/>
    <w:rsid w:val="00130693"/>
    <w:rsid w:val="00145766"/>
    <w:rsid w:val="00173D9C"/>
    <w:rsid w:val="00176237"/>
    <w:rsid w:val="001878FB"/>
    <w:rsid w:val="00192ECE"/>
    <w:rsid w:val="00196AC2"/>
    <w:rsid w:val="001A140E"/>
    <w:rsid w:val="001B2027"/>
    <w:rsid w:val="001C6092"/>
    <w:rsid w:val="001D7A0B"/>
    <w:rsid w:val="0021375E"/>
    <w:rsid w:val="00222E5E"/>
    <w:rsid w:val="0023139E"/>
    <w:rsid w:val="00233585"/>
    <w:rsid w:val="00236EAB"/>
    <w:rsid w:val="002445FB"/>
    <w:rsid w:val="002842CB"/>
    <w:rsid w:val="002948F7"/>
    <w:rsid w:val="002A0074"/>
    <w:rsid w:val="002B06D0"/>
    <w:rsid w:val="002D24F1"/>
    <w:rsid w:val="002D3D40"/>
    <w:rsid w:val="0031041F"/>
    <w:rsid w:val="00331AB6"/>
    <w:rsid w:val="0034571F"/>
    <w:rsid w:val="00347679"/>
    <w:rsid w:val="00354CE4"/>
    <w:rsid w:val="00355C06"/>
    <w:rsid w:val="003834F0"/>
    <w:rsid w:val="003872EC"/>
    <w:rsid w:val="003A108D"/>
    <w:rsid w:val="003C03CF"/>
    <w:rsid w:val="003C6BA6"/>
    <w:rsid w:val="003D2025"/>
    <w:rsid w:val="00400436"/>
    <w:rsid w:val="004012E8"/>
    <w:rsid w:val="00431112"/>
    <w:rsid w:val="00480E8D"/>
    <w:rsid w:val="004820DE"/>
    <w:rsid w:val="004871CE"/>
    <w:rsid w:val="004A2DBF"/>
    <w:rsid w:val="004A73A6"/>
    <w:rsid w:val="004B440D"/>
    <w:rsid w:val="004D1026"/>
    <w:rsid w:val="004D1A71"/>
    <w:rsid w:val="0051322B"/>
    <w:rsid w:val="00543991"/>
    <w:rsid w:val="005B367D"/>
    <w:rsid w:val="005D1064"/>
    <w:rsid w:val="005E5E01"/>
    <w:rsid w:val="00602368"/>
    <w:rsid w:val="00611BD0"/>
    <w:rsid w:val="00614FD3"/>
    <w:rsid w:val="00626C50"/>
    <w:rsid w:val="00631297"/>
    <w:rsid w:val="00653B7D"/>
    <w:rsid w:val="00680ABA"/>
    <w:rsid w:val="0069632B"/>
    <w:rsid w:val="006C1FC3"/>
    <w:rsid w:val="006C3908"/>
    <w:rsid w:val="006D7320"/>
    <w:rsid w:val="006E51E2"/>
    <w:rsid w:val="00701250"/>
    <w:rsid w:val="00717E0D"/>
    <w:rsid w:val="00750279"/>
    <w:rsid w:val="00766543"/>
    <w:rsid w:val="00767921"/>
    <w:rsid w:val="00767BF4"/>
    <w:rsid w:val="007715AA"/>
    <w:rsid w:val="0077486B"/>
    <w:rsid w:val="007812C0"/>
    <w:rsid w:val="00794526"/>
    <w:rsid w:val="007A1FFB"/>
    <w:rsid w:val="007C3BE5"/>
    <w:rsid w:val="007F1E3A"/>
    <w:rsid w:val="008154CD"/>
    <w:rsid w:val="00877202"/>
    <w:rsid w:val="0088279F"/>
    <w:rsid w:val="008B333C"/>
    <w:rsid w:val="008E168F"/>
    <w:rsid w:val="008F21AF"/>
    <w:rsid w:val="00907C38"/>
    <w:rsid w:val="00930601"/>
    <w:rsid w:val="009847ED"/>
    <w:rsid w:val="00991D58"/>
    <w:rsid w:val="009B0D0D"/>
    <w:rsid w:val="009B5F16"/>
    <w:rsid w:val="009C4E10"/>
    <w:rsid w:val="009D2F94"/>
    <w:rsid w:val="009E0662"/>
    <w:rsid w:val="009F11D2"/>
    <w:rsid w:val="00A05176"/>
    <w:rsid w:val="00A13360"/>
    <w:rsid w:val="00A316A1"/>
    <w:rsid w:val="00A43D65"/>
    <w:rsid w:val="00A820A6"/>
    <w:rsid w:val="00AA3D01"/>
    <w:rsid w:val="00AB0664"/>
    <w:rsid w:val="00AB591F"/>
    <w:rsid w:val="00AC55A2"/>
    <w:rsid w:val="00AD5EC1"/>
    <w:rsid w:val="00AE2D10"/>
    <w:rsid w:val="00AF1CAD"/>
    <w:rsid w:val="00AF3417"/>
    <w:rsid w:val="00B04162"/>
    <w:rsid w:val="00B44295"/>
    <w:rsid w:val="00B81314"/>
    <w:rsid w:val="00B85230"/>
    <w:rsid w:val="00B945EF"/>
    <w:rsid w:val="00B96B56"/>
    <w:rsid w:val="00BB2685"/>
    <w:rsid w:val="00BB5D83"/>
    <w:rsid w:val="00BE45DD"/>
    <w:rsid w:val="00BF5FF9"/>
    <w:rsid w:val="00C072F4"/>
    <w:rsid w:val="00C2397E"/>
    <w:rsid w:val="00C25B26"/>
    <w:rsid w:val="00C418B9"/>
    <w:rsid w:val="00C43BF6"/>
    <w:rsid w:val="00C47D18"/>
    <w:rsid w:val="00C9037E"/>
    <w:rsid w:val="00C90CF5"/>
    <w:rsid w:val="00C96975"/>
    <w:rsid w:val="00CB272E"/>
    <w:rsid w:val="00CB3665"/>
    <w:rsid w:val="00CC6741"/>
    <w:rsid w:val="00CC676B"/>
    <w:rsid w:val="00CE0E05"/>
    <w:rsid w:val="00CE34AC"/>
    <w:rsid w:val="00D3454A"/>
    <w:rsid w:val="00D43070"/>
    <w:rsid w:val="00D81443"/>
    <w:rsid w:val="00DA4888"/>
    <w:rsid w:val="00DB72FE"/>
    <w:rsid w:val="00DC2D89"/>
    <w:rsid w:val="00DC7115"/>
    <w:rsid w:val="00DE3347"/>
    <w:rsid w:val="00DF2511"/>
    <w:rsid w:val="00E00057"/>
    <w:rsid w:val="00E21D5D"/>
    <w:rsid w:val="00E261B0"/>
    <w:rsid w:val="00E3318D"/>
    <w:rsid w:val="00E33C36"/>
    <w:rsid w:val="00E86E55"/>
    <w:rsid w:val="00EA676B"/>
    <w:rsid w:val="00EC208C"/>
    <w:rsid w:val="00EC577E"/>
    <w:rsid w:val="00ED1750"/>
    <w:rsid w:val="00EE33BA"/>
    <w:rsid w:val="00F158B1"/>
    <w:rsid w:val="00F15E8C"/>
    <w:rsid w:val="00F43A2C"/>
    <w:rsid w:val="00F7197B"/>
    <w:rsid w:val="00F764C1"/>
    <w:rsid w:val="00F82925"/>
    <w:rsid w:val="00F84934"/>
    <w:rsid w:val="00F96558"/>
    <w:rsid w:val="00FA2C8E"/>
    <w:rsid w:val="00FD0359"/>
    <w:rsid w:val="00FD22A1"/>
    <w:rsid w:val="00FD459D"/>
    <w:rsid w:val="18B57962"/>
    <w:rsid w:val="2FF70FB2"/>
    <w:rsid w:val="372FF371"/>
    <w:rsid w:val="3793F8B2"/>
    <w:rsid w:val="3D773851"/>
    <w:rsid w:val="3DBFFC22"/>
    <w:rsid w:val="3F7F132E"/>
    <w:rsid w:val="3FF9F8A1"/>
    <w:rsid w:val="41F7D5FE"/>
    <w:rsid w:val="45FD2026"/>
    <w:rsid w:val="55EA404C"/>
    <w:rsid w:val="5B10DB58"/>
    <w:rsid w:val="5DFE2F83"/>
    <w:rsid w:val="653D8C78"/>
    <w:rsid w:val="6BF44845"/>
    <w:rsid w:val="6DDBB6FB"/>
    <w:rsid w:val="6F1C9058"/>
    <w:rsid w:val="6FBE8B2B"/>
    <w:rsid w:val="6FFB50E4"/>
    <w:rsid w:val="6FFF6F92"/>
    <w:rsid w:val="718F523B"/>
    <w:rsid w:val="774137E6"/>
    <w:rsid w:val="77B06498"/>
    <w:rsid w:val="77D59C41"/>
    <w:rsid w:val="77EBBDE8"/>
    <w:rsid w:val="798EE375"/>
    <w:rsid w:val="79FFCCE6"/>
    <w:rsid w:val="7AD6E8B6"/>
    <w:rsid w:val="7BBF5C72"/>
    <w:rsid w:val="7BEA5CBD"/>
    <w:rsid w:val="7BFAECF2"/>
    <w:rsid w:val="7DF05FB3"/>
    <w:rsid w:val="7F478D64"/>
    <w:rsid w:val="7F67F0FD"/>
    <w:rsid w:val="7FAE2169"/>
    <w:rsid w:val="7FCCD474"/>
    <w:rsid w:val="7FFED9D3"/>
    <w:rsid w:val="7FFFBF59"/>
    <w:rsid w:val="87F74E29"/>
    <w:rsid w:val="8CF190C9"/>
    <w:rsid w:val="AEE5E1B6"/>
    <w:rsid w:val="B77272D1"/>
    <w:rsid w:val="B7CFAC26"/>
    <w:rsid w:val="BEFED3FF"/>
    <w:rsid w:val="BFDFCE66"/>
    <w:rsid w:val="BFED66B7"/>
    <w:rsid w:val="BFFEA305"/>
    <w:rsid w:val="CD7C6A0D"/>
    <w:rsid w:val="CDDF1AFB"/>
    <w:rsid w:val="CFF44F42"/>
    <w:rsid w:val="D33FAA0C"/>
    <w:rsid w:val="D5FFB0B6"/>
    <w:rsid w:val="DA6DC80D"/>
    <w:rsid w:val="DEEDDBC2"/>
    <w:rsid w:val="DF5BF324"/>
    <w:rsid w:val="E7F7C7BD"/>
    <w:rsid w:val="EFEFB915"/>
    <w:rsid w:val="EFFAFA74"/>
    <w:rsid w:val="F5FA5435"/>
    <w:rsid w:val="F7F195D5"/>
    <w:rsid w:val="FAFBE5E6"/>
    <w:rsid w:val="FB507A8F"/>
    <w:rsid w:val="FBAD12AE"/>
    <w:rsid w:val="FBB38185"/>
    <w:rsid w:val="FD93F21F"/>
    <w:rsid w:val="FDAF865D"/>
    <w:rsid w:val="FEFB2D54"/>
    <w:rsid w:val="FEFD5035"/>
    <w:rsid w:val="FEFF9246"/>
    <w:rsid w:val="FF7D5B46"/>
    <w:rsid w:val="FF8B4173"/>
    <w:rsid w:val="FFBEBB54"/>
    <w:rsid w:val="FFF9A41E"/>
    <w:rsid w:val="FFFED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8"/>
    <w:qFormat/>
    <w:uiPriority w:val="9"/>
    <w:pPr>
      <w:keepNext/>
      <w:keepLines/>
      <w:adjustRightInd w:val="0"/>
      <w:snapToGrid w:val="0"/>
      <w:spacing w:line="360" w:lineRule="auto"/>
      <w:ind w:left="200" w:leftChars="200"/>
      <w:outlineLvl w:val="0"/>
    </w:pPr>
    <w:rPr>
      <w:rFonts w:eastAsia="黑体"/>
      <w:b/>
      <w:bCs/>
      <w:kern w:val="44"/>
      <w:sz w:val="36"/>
      <w:szCs w:val="44"/>
    </w:rPr>
  </w:style>
  <w:style w:type="paragraph" w:styleId="4">
    <w:name w:val="heading 2"/>
    <w:basedOn w:val="1"/>
    <w:next w:val="1"/>
    <w:link w:val="32"/>
    <w:unhideWhenUsed/>
    <w:qFormat/>
    <w:uiPriority w:val="9"/>
    <w:pPr>
      <w:keepNext/>
      <w:keepLines/>
      <w:adjustRightInd w:val="0"/>
      <w:snapToGrid w:val="0"/>
      <w:spacing w:line="360" w:lineRule="auto"/>
      <w:ind w:left="200" w:leftChars="200"/>
      <w:outlineLvl w:val="1"/>
    </w:pPr>
    <w:rPr>
      <w:rFonts w:eastAsia="华文中宋" w:asciiTheme="majorHAnsi" w:hAnsiTheme="majorHAnsi" w:cstheme="majorBidi"/>
      <w:b/>
      <w:bCs/>
      <w:sz w:val="32"/>
      <w:szCs w:val="32"/>
    </w:rPr>
  </w:style>
  <w:style w:type="paragraph" w:styleId="5">
    <w:name w:val="heading 3"/>
    <w:basedOn w:val="1"/>
    <w:next w:val="1"/>
    <w:link w:val="29"/>
    <w:qFormat/>
    <w:uiPriority w:val="9"/>
    <w:pPr>
      <w:keepNext/>
      <w:keepLines/>
      <w:adjustRightInd w:val="0"/>
      <w:snapToGrid w:val="0"/>
      <w:spacing w:line="360" w:lineRule="auto"/>
      <w:ind w:left="200" w:leftChars="200"/>
      <w:outlineLvl w:val="2"/>
    </w:pPr>
    <w:rPr>
      <w:rFonts w:ascii="Calibri" w:hAnsi="Calibri" w:eastAsia="华文中宋" w:cs="Times New Roman"/>
      <w:b/>
      <w:bCs/>
      <w:sz w:val="30"/>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3"/>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annotation text"/>
    <w:basedOn w:val="1"/>
    <w:link w:val="34"/>
    <w:unhideWhenUsed/>
    <w:qFormat/>
    <w:uiPriority w:val="99"/>
    <w:pPr>
      <w:jc w:val="left"/>
    </w:pPr>
  </w:style>
  <w:style w:type="paragraph" w:styleId="7">
    <w:name w:val="Body Text Indent"/>
    <w:basedOn w:val="1"/>
    <w:next w:val="8"/>
    <w:qFormat/>
    <w:uiPriority w:val="0"/>
    <w:pPr>
      <w:spacing w:after="120"/>
      <w:ind w:left="420" w:leftChars="200"/>
    </w:pPr>
  </w:style>
  <w:style w:type="paragraph" w:styleId="8">
    <w:name w:val="Body Text Indent 2"/>
    <w:basedOn w:val="1"/>
    <w:qFormat/>
    <w:uiPriority w:val="0"/>
    <w:pPr>
      <w:ind w:firstLine="630"/>
    </w:pPr>
    <w:rPr>
      <w:b/>
    </w:rPr>
  </w:style>
  <w:style w:type="paragraph" w:styleId="9">
    <w:name w:val="toc 3"/>
    <w:basedOn w:val="1"/>
    <w:next w:val="1"/>
    <w:unhideWhenUsed/>
    <w:qFormat/>
    <w:uiPriority w:val="39"/>
    <w:pPr>
      <w:ind w:left="840" w:leftChars="400"/>
    </w:pPr>
  </w:style>
  <w:style w:type="paragraph" w:styleId="10">
    <w:name w:val="Date"/>
    <w:basedOn w:val="1"/>
    <w:next w:val="1"/>
    <w:link w:val="39"/>
    <w:semiHidden/>
    <w:unhideWhenUsed/>
    <w:qFormat/>
    <w:uiPriority w:val="99"/>
    <w:pPr>
      <w:ind w:left="100" w:leftChars="2500"/>
    </w:pPr>
  </w:style>
  <w:style w:type="paragraph" w:styleId="11">
    <w:name w:val="Balloon Text"/>
    <w:basedOn w:val="1"/>
    <w:link w:val="35"/>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6"/>
    <w:next w:val="6"/>
    <w:link w:val="36"/>
    <w:semiHidden/>
    <w:unhideWhenUsed/>
    <w:qFormat/>
    <w:uiPriority w:val="99"/>
    <w:rPr>
      <w:b/>
      <w:bCs/>
    </w:rPr>
  </w:style>
  <w:style w:type="paragraph" w:styleId="18">
    <w:name w:val="Body Text First Indent 2"/>
    <w:basedOn w:val="7"/>
    <w:next w:val="1"/>
    <w:qFormat/>
    <w:uiPriority w:val="0"/>
    <w:pPr>
      <w:spacing w:after="0"/>
      <w:ind w:firstLine="420"/>
    </w:pPr>
    <w:rPr>
      <w:szCs w:val="20"/>
    </w:rPr>
  </w:style>
  <w:style w:type="table" w:styleId="20">
    <w:name w:val="Table Grid"/>
    <w:basedOn w:val="19"/>
    <w:qFormat/>
    <w:uiPriority w:val="0"/>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styleId="25">
    <w:name w:val="List Paragraph"/>
    <w:basedOn w:val="1"/>
    <w:qFormat/>
    <w:uiPriority w:val="34"/>
    <w:pPr>
      <w:ind w:firstLine="420" w:firstLineChars="200"/>
    </w:pPr>
  </w:style>
  <w:style w:type="character" w:customStyle="1" w:styleId="26">
    <w:name w:val="页眉 字符"/>
    <w:basedOn w:val="21"/>
    <w:link w:val="13"/>
    <w:qFormat/>
    <w:uiPriority w:val="99"/>
    <w:rPr>
      <w:sz w:val="18"/>
      <w:szCs w:val="18"/>
    </w:rPr>
  </w:style>
  <w:style w:type="character" w:customStyle="1" w:styleId="27">
    <w:name w:val="页脚 字符"/>
    <w:basedOn w:val="21"/>
    <w:link w:val="12"/>
    <w:qFormat/>
    <w:uiPriority w:val="99"/>
    <w:rPr>
      <w:sz w:val="18"/>
      <w:szCs w:val="18"/>
    </w:rPr>
  </w:style>
  <w:style w:type="paragraph" w:customStyle="1" w:styleId="28">
    <w:name w:val="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29">
    <w:name w:val="标题 3 字符"/>
    <w:basedOn w:val="21"/>
    <w:link w:val="5"/>
    <w:qFormat/>
    <w:uiPriority w:val="9"/>
    <w:rPr>
      <w:rFonts w:ascii="Calibri" w:hAnsi="Calibri" w:eastAsia="华文中宋" w:cs="Times New Roman"/>
      <w:b/>
      <w:bCs/>
      <w:sz w:val="30"/>
      <w:szCs w:val="32"/>
    </w:rPr>
  </w:style>
  <w:style w:type="paragraph" w:customStyle="1" w:styleId="30">
    <w:name w:val="列出段落1"/>
    <w:basedOn w:val="1"/>
    <w:qFormat/>
    <w:uiPriority w:val="0"/>
    <w:pPr>
      <w:ind w:firstLine="420" w:firstLineChars="200"/>
    </w:pPr>
    <w:rPr>
      <w:rFonts w:ascii="Calibri" w:hAnsi="Calibri" w:eastAsia="宋体" w:cs="Times New Roman"/>
    </w:rPr>
  </w:style>
  <w:style w:type="character" w:customStyle="1" w:styleId="31">
    <w:name w:val="标题 1 Char"/>
    <w:basedOn w:val="21"/>
    <w:qFormat/>
    <w:uiPriority w:val="9"/>
    <w:rPr>
      <w:rFonts w:eastAsia="黑体"/>
      <w:b/>
      <w:bCs/>
      <w:kern w:val="44"/>
      <w:sz w:val="36"/>
      <w:szCs w:val="44"/>
    </w:rPr>
  </w:style>
  <w:style w:type="character" w:customStyle="1" w:styleId="32">
    <w:name w:val="标题 2 字符"/>
    <w:basedOn w:val="21"/>
    <w:link w:val="4"/>
    <w:qFormat/>
    <w:uiPriority w:val="9"/>
    <w:rPr>
      <w:rFonts w:eastAsia="华文中宋" w:asciiTheme="majorHAnsi" w:hAnsiTheme="majorHAnsi" w:cstheme="majorBidi"/>
      <w:b/>
      <w:bCs/>
      <w:kern w:val="2"/>
      <w:sz w:val="32"/>
      <w:szCs w:val="32"/>
    </w:rPr>
  </w:style>
  <w:style w:type="character" w:customStyle="1" w:styleId="33">
    <w:name w:val="正文文本 字符"/>
    <w:basedOn w:val="21"/>
    <w:link w:val="2"/>
    <w:qFormat/>
    <w:uiPriority w:val="0"/>
    <w:rPr>
      <w:rFonts w:ascii="Times New Roman" w:hAnsi="Times New Roman" w:eastAsia="宋体" w:cs="Times New Roman"/>
      <w:szCs w:val="24"/>
    </w:rPr>
  </w:style>
  <w:style w:type="character" w:customStyle="1" w:styleId="34">
    <w:name w:val="批注文字 字符"/>
    <w:basedOn w:val="21"/>
    <w:link w:val="6"/>
    <w:qFormat/>
    <w:uiPriority w:val="99"/>
  </w:style>
  <w:style w:type="character" w:customStyle="1" w:styleId="35">
    <w:name w:val="批注框文本 字符"/>
    <w:basedOn w:val="21"/>
    <w:link w:val="11"/>
    <w:semiHidden/>
    <w:qFormat/>
    <w:uiPriority w:val="99"/>
    <w:rPr>
      <w:sz w:val="18"/>
      <w:szCs w:val="18"/>
    </w:rPr>
  </w:style>
  <w:style w:type="character" w:customStyle="1" w:styleId="36">
    <w:name w:val="批注主题 字符"/>
    <w:basedOn w:val="34"/>
    <w:link w:val="17"/>
    <w:semiHidden/>
    <w:qFormat/>
    <w:uiPriority w:val="99"/>
    <w:rPr>
      <w:b/>
      <w:bCs/>
    </w:rPr>
  </w:style>
  <w:style w:type="paragraph" w:customStyle="1" w:styleId="37">
    <w:name w:val="TOC 标题1"/>
    <w:basedOn w:val="1"/>
    <w:next w:val="1"/>
    <w:unhideWhenUsed/>
    <w:qFormat/>
    <w:uiPriority w:val="39"/>
    <w:pPr>
      <w:widowControl/>
      <w:spacing w:before="240" w:line="259" w:lineRule="auto"/>
      <w:jc w:val="left"/>
    </w:pPr>
    <w:rPr>
      <w:rFonts w:asciiTheme="majorHAnsi" w:hAnsiTheme="majorHAnsi" w:eastAsiaTheme="majorEastAsia" w:cstheme="majorBidi"/>
      <w:b/>
      <w:bCs/>
      <w:color w:val="2E75B6" w:themeColor="accent1" w:themeShade="BF"/>
      <w:kern w:val="0"/>
      <w:sz w:val="32"/>
      <w:szCs w:val="32"/>
    </w:rPr>
  </w:style>
  <w:style w:type="character" w:customStyle="1" w:styleId="38">
    <w:name w:val="标题 1 字符"/>
    <w:basedOn w:val="21"/>
    <w:link w:val="3"/>
    <w:qFormat/>
    <w:uiPriority w:val="9"/>
    <w:rPr>
      <w:rFonts w:eastAsia="黑体" w:asciiTheme="minorHAnsi" w:hAnsiTheme="minorHAnsi" w:cstheme="minorBidi"/>
      <w:b/>
      <w:bCs/>
      <w:kern w:val="44"/>
      <w:sz w:val="36"/>
      <w:szCs w:val="44"/>
    </w:rPr>
  </w:style>
  <w:style w:type="character" w:customStyle="1" w:styleId="39">
    <w:name w:val="日期 字符"/>
    <w:basedOn w:val="21"/>
    <w:link w:val="10"/>
    <w:semiHidden/>
    <w:qFormat/>
    <w:uiPriority w:val="99"/>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2368</Words>
  <Characters>13500</Characters>
  <Lines>112</Lines>
  <Paragraphs>31</Paragraphs>
  <TotalTime>2</TotalTime>
  <ScaleCrop>false</ScaleCrop>
  <LinksUpToDate>false</LinksUpToDate>
  <CharactersWithSpaces>15837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2024-05-18T17:45:00Z</dcterms:created>
  <dc:creator>China</dc:creator>
  <cp:lastModifiedBy>uos</cp:lastModifiedBy>
  <cp:lastPrinted>2024-06-04T14:56:00Z</cp:lastPrinted>
  <dcterms:modified xsi:type="dcterms:W3CDTF">2024-06-05T09:27:39Z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116FABB1AC4A42CF98E5FF16F1581A41_12</vt:lpwstr>
  </property>
</Properties>
</file>