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DACE">
      <w:pPr>
        <w:pStyle w:val="5"/>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14:paraId="3B5E43A6">
      <w:pPr>
        <w:pStyle w:val="5"/>
        <w:rPr>
          <w:rFonts w:hint="eastAsia" w:ascii="黑体" w:hAnsi="黑体" w:eastAsia="黑体" w:cs="黑体"/>
          <w:sz w:val="32"/>
          <w:szCs w:val="32"/>
          <w:lang w:val="en-US" w:eastAsia="zh-CN"/>
        </w:rPr>
      </w:pPr>
    </w:p>
    <w:p w14:paraId="75A2F9C7">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开平市电动汽车充电基础设施建设运营</w:t>
      </w:r>
    </w:p>
    <w:p w14:paraId="2053E640">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管理暂行办法（送审稿）注释稿</w:t>
      </w:r>
    </w:p>
    <w:p w14:paraId="0C94767C">
      <w:pPr>
        <w:keepNext w:val="0"/>
        <w:keepLines w:val="0"/>
        <w:pageBreakBefore w:val="0"/>
        <w:widowControl/>
        <w:suppressLineNumbers w:val="0"/>
        <w:kinsoku/>
        <w:wordWrap/>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bidi="ar"/>
        </w:rPr>
      </w:pPr>
    </w:p>
    <w:p w14:paraId="4C1ED15E">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lang w:val="en-US" w:eastAsia="zh-CN" w:bidi="ar"/>
        </w:rPr>
        <w:t>第一章 总 则</w:t>
      </w:r>
    </w:p>
    <w:p w14:paraId="0DD4200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第一条【目的和依据】</w:t>
      </w:r>
      <w:r>
        <w:rPr>
          <w:rFonts w:hint="eastAsia" w:ascii="仿宋_GB2312" w:hAnsi="仿宋_GB2312" w:eastAsia="仿宋_GB2312" w:cs="仿宋_GB2312"/>
          <w:color w:val="auto"/>
          <w:kern w:val="0"/>
          <w:sz w:val="32"/>
          <w:szCs w:val="32"/>
          <w:highlight w:val="none"/>
          <w:lang w:val="en-US" w:eastAsia="zh-CN" w:bidi="ar"/>
        </w:rPr>
        <w:t xml:space="preserve">  为加快我市新能源汽车推广应用，推动新能源汽车充电基础设施合理布局、规范建设，提升充电基础设施技术水平和运营服务能力，构建高质量充电基础设施体系，根据《国务院办公厅关于进一步构建高质量充电基础设施体系的指导意见》（国办发〔</w:t>
      </w:r>
      <w:r>
        <w:rPr>
          <w:rFonts w:hint="eastAsia" w:ascii="Times New Roman" w:hAnsi="Times New Roman" w:eastAsia="仿宋_GB2312" w:cs="仿宋_GB2312"/>
          <w:color w:val="auto"/>
          <w:kern w:val="0"/>
          <w:sz w:val="32"/>
          <w:szCs w:val="32"/>
          <w:highlight w:val="none"/>
          <w:lang w:val="en-US" w:eastAsia="zh-CN" w:bidi="ar"/>
        </w:rPr>
        <w:t>2023</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19</w:t>
      </w:r>
      <w:r>
        <w:rPr>
          <w:rFonts w:hint="eastAsia" w:ascii="仿宋_GB2312" w:hAnsi="仿宋_GB2312" w:eastAsia="仿宋_GB2312" w:cs="仿宋_GB2312"/>
          <w:color w:val="auto"/>
          <w:kern w:val="0"/>
          <w:sz w:val="32"/>
          <w:szCs w:val="32"/>
          <w:highlight w:val="none"/>
          <w:lang w:val="en-US" w:eastAsia="zh-CN" w:bidi="ar"/>
        </w:rPr>
        <w:t>号）、《关于进一步提升电动汽车充电基础设施服务保障能力的实施意见》（发改能源规〔</w:t>
      </w:r>
      <w:r>
        <w:rPr>
          <w:rFonts w:hint="eastAsia" w:ascii="Times New Roman" w:hAnsi="Times New Roman" w:eastAsia="仿宋_GB2312" w:cs="仿宋_GB2312"/>
          <w:color w:val="auto"/>
          <w:kern w:val="0"/>
          <w:sz w:val="32"/>
          <w:szCs w:val="32"/>
          <w:highlight w:val="none"/>
          <w:lang w:val="en-US" w:eastAsia="zh-CN" w:bidi="ar"/>
        </w:rPr>
        <w:t>2022</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53</w:t>
      </w:r>
      <w:r>
        <w:rPr>
          <w:rFonts w:hint="eastAsia" w:ascii="仿宋_GB2312" w:hAnsi="仿宋_GB2312" w:eastAsia="仿宋_GB2312" w:cs="仿宋_GB2312"/>
          <w:color w:val="auto"/>
          <w:kern w:val="0"/>
          <w:sz w:val="32"/>
          <w:szCs w:val="32"/>
          <w:highlight w:val="none"/>
          <w:lang w:val="en-US" w:eastAsia="zh-CN" w:bidi="ar"/>
        </w:rPr>
        <w:t>号）、《广东省电动汽车充电基础设施发展“十四五”规划》</w:t>
      </w:r>
      <w:r>
        <w:rPr>
          <w:rFonts w:hint="default" w:ascii="Times New Roman" w:hAnsi="Times New Roman" w:eastAsia="仿宋_GB2312" w:cs="Times New Roman"/>
          <w:color w:val="auto"/>
          <w:kern w:val="0"/>
          <w:sz w:val="32"/>
          <w:szCs w:val="32"/>
          <w:highlight w:val="none"/>
          <w:lang w:val="en-US" w:eastAsia="zh-CN" w:bidi="ar"/>
        </w:rPr>
        <w:t>（粤能电力〔2021〕114号）</w:t>
      </w:r>
      <w:r>
        <w:rPr>
          <w:rFonts w:hint="eastAsia" w:ascii="仿宋_GB2312" w:hAnsi="仿宋_GB2312" w:eastAsia="仿宋_GB2312" w:cs="仿宋_GB2312"/>
          <w:color w:val="auto"/>
          <w:kern w:val="0"/>
          <w:sz w:val="32"/>
          <w:szCs w:val="32"/>
          <w:highlight w:val="none"/>
          <w:lang w:val="en-US" w:eastAsia="zh-CN" w:bidi="ar"/>
        </w:rPr>
        <w:t>等文件精神，结合我市实际，制定本办法。</w:t>
      </w:r>
    </w:p>
    <w:p w14:paraId="33FE4562">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依据广东省发展改革委关于电动汽车充电基础设施建设运营的管理办法（粤发改能电〔2016〕691号）第一条条款。</w:t>
      </w:r>
    </w:p>
    <w:p w14:paraId="20ACB2E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kern w:val="0"/>
          <w:sz w:val="32"/>
          <w:szCs w:val="32"/>
          <w:highlight w:val="none"/>
          <w:lang w:val="en-US" w:eastAsia="zh-CN" w:bidi="ar"/>
        </w:rPr>
        <w:t>第二条【分类】</w:t>
      </w:r>
      <w:r>
        <w:rPr>
          <w:rFonts w:hint="eastAsia" w:ascii="仿宋_GB2312" w:hAnsi="仿宋_GB2312" w:eastAsia="仿宋_GB2312" w:cs="仿宋_GB2312"/>
          <w:color w:val="auto"/>
          <w:kern w:val="0"/>
          <w:sz w:val="32"/>
          <w:szCs w:val="32"/>
          <w:highlight w:val="none"/>
          <w:lang w:val="en-US" w:eastAsia="zh-CN" w:bidi="ar"/>
        </w:rPr>
        <w:t xml:space="preserve">  本办法适用的充电基础设施包括三类：</w:t>
      </w:r>
    </w:p>
    <w:p w14:paraId="5871AA8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（一）自用充电基础设施，指在个人用户所有或长期租赁的固定停车位安装，专门为其停放的电动汽车充电的充电基础设施。</w:t>
      </w:r>
    </w:p>
    <w:p w14:paraId="4566ACA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专用充电基础设施，是指在党政机关、企事业单位、社会团体、园区等专属停车位建设，为公务车辆、员工车辆等提供专属充电服务的充电基础设施，以及在公交车、客运汽车、出租车、物流环卫等专用车站场建设，为对应专用车辆提供充电服务的充电基础设施。</w:t>
      </w:r>
    </w:p>
    <w:p w14:paraId="042B7C1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公用充电基础设施，指在规划的独立地块、社会公共停车场、住宅小区公共停车场、商业建筑物配建停车场、加油（气、氢）站、高速公路服务区等区域规划建设，面向社会车辆提供充电服务的充电基础设施。</w:t>
      </w:r>
    </w:p>
    <w:p w14:paraId="71DB2B7C">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依据广东省发展改革委关于电动汽车充电基础设施建设运营的管理办法（粤发改能电〔2016〕691号）第二条条款。</w:t>
      </w:r>
    </w:p>
    <w:p w14:paraId="5906A62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第三条【适用范围】</w:t>
      </w:r>
      <w:r>
        <w:rPr>
          <w:rFonts w:hint="eastAsia" w:ascii="仿宋_GB2312" w:hAnsi="仿宋_GB2312" w:eastAsia="仿宋_GB2312" w:cs="仿宋_GB2312"/>
          <w:color w:val="auto"/>
          <w:kern w:val="0"/>
          <w:sz w:val="32"/>
          <w:szCs w:val="32"/>
          <w:highlight w:val="none"/>
          <w:lang w:val="en-US" w:eastAsia="zh-CN" w:bidi="ar"/>
        </w:rPr>
        <w:t xml:space="preserve">  全市行政区域内充电基础设施的规划编制、投资建设、运营管理等相关活动适用本办法。</w:t>
      </w:r>
    </w:p>
    <w:p w14:paraId="33371ACC">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依据广东省发展改革委关于电动汽车充电基础设施建设运营的管理办法（粤发改能电〔2016〕691号）第三条条款。</w:t>
      </w:r>
    </w:p>
    <w:p w14:paraId="2D50B7C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7722974D">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第二章 规划管理</w:t>
      </w:r>
    </w:p>
    <w:p w14:paraId="684D838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default" w:ascii="Times New Roman" w:hAnsi="Times New Roman" w:eastAsia="黑体" w:cs="Times New Roman"/>
          <w:color w:val="auto"/>
          <w:sz w:val="32"/>
          <w:szCs w:val="32"/>
          <w:highlight w:val="none"/>
          <w:lang w:val="en-US"/>
        </w:rPr>
        <w:t>第</w:t>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rPr>
        <w:t>条</w:t>
      </w:r>
      <w:r>
        <w:rPr>
          <w:rFonts w:hint="eastAsia" w:ascii="Times New Roman" w:hAnsi="Times New Roman" w:eastAsia="黑体" w:cs="Times New Roman"/>
          <w:color w:val="auto"/>
          <w:sz w:val="32"/>
          <w:szCs w:val="32"/>
          <w:highlight w:val="none"/>
          <w:lang w:val="en-US" w:eastAsia="zh-CN"/>
        </w:rPr>
        <w:t>【规划主体】</w:t>
      </w:r>
      <w:r>
        <w:rPr>
          <w:rFonts w:hint="default" w:ascii="Times New Roman" w:hAnsi="Times New Roman" w:eastAsia="黑体" w:cs="Times New Roman"/>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rPr>
        <w:t>市</w:t>
      </w:r>
      <w:r>
        <w:rPr>
          <w:rFonts w:hint="default" w:ascii="仿宋_GB2312" w:hAnsi="仿宋_GB2312" w:eastAsia="仿宋_GB2312" w:cs="仿宋_GB2312"/>
          <w:color w:val="auto"/>
          <w:sz w:val="32"/>
          <w:szCs w:val="32"/>
          <w:highlight w:val="none"/>
          <w:lang w:val="en-US" w:eastAsia="zh-CN"/>
        </w:rPr>
        <w:t>发展改革局牵头市自然资源局、市</w:t>
      </w:r>
      <w:r>
        <w:rPr>
          <w:rFonts w:hint="default" w:ascii="仿宋_GB2312" w:hAnsi="仿宋_GB2312" w:eastAsia="仿宋_GB2312" w:cs="仿宋_GB2312"/>
          <w:color w:val="auto"/>
          <w:sz w:val="32"/>
          <w:szCs w:val="32"/>
          <w:highlight w:val="none"/>
          <w:lang w:val="en-US"/>
        </w:rPr>
        <w:t>住房</w:t>
      </w:r>
      <w:r>
        <w:rPr>
          <w:rFonts w:hint="default" w:ascii="仿宋_GB2312" w:hAnsi="仿宋_GB2312" w:eastAsia="仿宋_GB2312" w:cs="仿宋_GB2312"/>
          <w:color w:val="auto"/>
          <w:sz w:val="32"/>
          <w:szCs w:val="32"/>
          <w:highlight w:val="none"/>
          <w:lang w:val="en-US" w:eastAsia="zh-CN"/>
        </w:rPr>
        <w:t>城乡</w:t>
      </w:r>
      <w:r>
        <w:rPr>
          <w:rFonts w:hint="default" w:ascii="仿宋_GB2312" w:hAnsi="仿宋_GB2312" w:eastAsia="仿宋_GB2312" w:cs="仿宋_GB2312"/>
          <w:color w:val="auto"/>
          <w:sz w:val="32"/>
          <w:szCs w:val="32"/>
          <w:highlight w:val="none"/>
          <w:lang w:val="en-US"/>
        </w:rPr>
        <w:t>建设</w:t>
      </w:r>
      <w:r>
        <w:rPr>
          <w:rFonts w:hint="default" w:ascii="仿宋_GB2312" w:hAnsi="仿宋_GB2312" w:eastAsia="仿宋_GB2312" w:cs="仿宋_GB2312"/>
          <w:color w:val="auto"/>
          <w:sz w:val="32"/>
          <w:szCs w:val="32"/>
          <w:highlight w:val="none"/>
          <w:lang w:val="en-US" w:eastAsia="zh-CN"/>
        </w:rPr>
        <w:t>局</w:t>
      </w:r>
      <w:r>
        <w:rPr>
          <w:rFonts w:hint="default"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rPr>
        <w:t>交通运输</w:t>
      </w:r>
      <w:r>
        <w:rPr>
          <w:rFonts w:hint="default" w:ascii="仿宋_GB2312" w:hAnsi="仿宋_GB2312" w:eastAsia="仿宋_GB2312" w:cs="仿宋_GB2312"/>
          <w:color w:val="auto"/>
          <w:sz w:val="32"/>
          <w:szCs w:val="32"/>
          <w:highlight w:val="none"/>
          <w:lang w:val="en-US" w:eastAsia="zh-CN"/>
        </w:rPr>
        <w:t>局</w:t>
      </w:r>
      <w:r>
        <w:rPr>
          <w:rFonts w:hint="default"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rPr>
        <w:t>城市管理</w:t>
      </w:r>
      <w:r>
        <w:rPr>
          <w:rFonts w:hint="default" w:ascii="仿宋_GB2312" w:hAnsi="仿宋_GB2312" w:eastAsia="仿宋_GB2312" w:cs="仿宋_GB2312"/>
          <w:color w:val="auto"/>
          <w:sz w:val="32"/>
          <w:szCs w:val="32"/>
          <w:highlight w:val="none"/>
          <w:lang w:val="en-US" w:eastAsia="zh-CN"/>
        </w:rPr>
        <w:t>综合执法局</w:t>
      </w:r>
      <w:r>
        <w:rPr>
          <w:rFonts w:hint="default"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rPr>
        <w:t>消防救援</w:t>
      </w:r>
      <w:r>
        <w:rPr>
          <w:rFonts w:hint="default" w:ascii="仿宋_GB2312" w:hAnsi="仿宋_GB2312" w:eastAsia="仿宋_GB2312" w:cs="仿宋_GB2312"/>
          <w:color w:val="auto"/>
          <w:sz w:val="32"/>
          <w:szCs w:val="32"/>
          <w:highlight w:val="none"/>
          <w:lang w:val="en-US" w:eastAsia="zh-CN"/>
        </w:rPr>
        <w:t>大队</w:t>
      </w:r>
      <w:r>
        <w:rPr>
          <w:rFonts w:hint="default" w:ascii="仿宋_GB2312" w:hAnsi="仿宋_GB2312" w:eastAsia="仿宋_GB2312" w:cs="仿宋_GB2312"/>
          <w:color w:val="auto"/>
          <w:sz w:val="32"/>
          <w:szCs w:val="32"/>
          <w:highlight w:val="none"/>
          <w:lang w:val="en-US"/>
        </w:rPr>
        <w:t>等部门</w:t>
      </w:r>
      <w:r>
        <w:rPr>
          <w:rFonts w:hint="eastAsia" w:ascii="仿宋_GB2312" w:hAnsi="仿宋_GB2312" w:eastAsia="仿宋_GB2312" w:cs="仿宋_GB2312"/>
          <w:color w:val="auto"/>
          <w:sz w:val="32"/>
          <w:szCs w:val="32"/>
          <w:highlight w:val="none"/>
          <w:lang w:val="en-US" w:eastAsia="zh-CN"/>
        </w:rPr>
        <w:t>以及</w:t>
      </w:r>
      <w:r>
        <w:rPr>
          <w:rFonts w:hint="default" w:ascii="仿宋_GB2312" w:hAnsi="仿宋_GB2312" w:eastAsia="仿宋_GB2312" w:cs="仿宋_GB2312"/>
          <w:bCs/>
          <w:snapToGrid w:val="0"/>
          <w:color w:val="auto"/>
          <w:kern w:val="0"/>
          <w:sz w:val="32"/>
          <w:szCs w:val="32"/>
          <w:highlight w:val="none"/>
          <w:lang w:val="en-US" w:eastAsia="zh-CN"/>
        </w:rPr>
        <w:t>各镇人民政府（街道办事处）、翠山湖管委会</w:t>
      </w:r>
      <w:r>
        <w:rPr>
          <w:rFonts w:hint="default" w:ascii="仿宋_GB2312" w:hAnsi="仿宋_GB2312" w:eastAsia="仿宋_GB2312" w:cs="仿宋_GB2312"/>
          <w:color w:val="auto"/>
          <w:sz w:val="32"/>
          <w:szCs w:val="32"/>
          <w:highlight w:val="none"/>
          <w:lang w:val="en-US"/>
        </w:rPr>
        <w:t>，按照“科学布局、</w:t>
      </w:r>
      <w:r>
        <w:rPr>
          <w:rFonts w:hint="eastAsia" w:ascii="仿宋_GB2312" w:hAnsi="仿宋_GB2312" w:eastAsia="仿宋_GB2312" w:cs="仿宋_GB2312"/>
          <w:color w:val="auto"/>
          <w:sz w:val="32"/>
          <w:szCs w:val="32"/>
          <w:highlight w:val="none"/>
          <w:lang w:val="en-US" w:eastAsia="zh-CN"/>
        </w:rPr>
        <w:t>供需匹配</w:t>
      </w:r>
      <w:r>
        <w:rPr>
          <w:rFonts w:hint="default" w:ascii="仿宋_GB2312" w:hAnsi="仿宋_GB2312" w:eastAsia="仿宋_GB2312" w:cs="仿宋_GB2312"/>
          <w:color w:val="auto"/>
          <w:sz w:val="32"/>
          <w:szCs w:val="32"/>
          <w:highlight w:val="none"/>
          <w:lang w:val="en-US"/>
        </w:rPr>
        <w:t>、创新融合、安全便捷”的总体原则，编制全市新能源汽车</w:t>
      </w:r>
      <w:r>
        <w:rPr>
          <w:rFonts w:hint="eastAsia" w:ascii="仿宋_GB2312" w:hAnsi="仿宋_GB2312" w:eastAsia="仿宋_GB2312" w:cs="仿宋_GB2312"/>
          <w:color w:val="auto"/>
          <w:sz w:val="32"/>
          <w:szCs w:val="32"/>
          <w:highlight w:val="none"/>
          <w:lang w:val="en-US" w:eastAsia="zh-CN"/>
        </w:rPr>
        <w:t>充电基础设施</w:t>
      </w:r>
      <w:r>
        <w:rPr>
          <w:rFonts w:hint="default" w:ascii="仿宋_GB2312" w:hAnsi="仿宋_GB2312" w:eastAsia="仿宋_GB2312" w:cs="仿宋_GB2312"/>
          <w:color w:val="auto"/>
          <w:sz w:val="32"/>
          <w:szCs w:val="32"/>
          <w:highlight w:val="none"/>
          <w:lang w:val="en-US"/>
        </w:rPr>
        <w:t>规划，</w:t>
      </w:r>
      <w:r>
        <w:rPr>
          <w:rFonts w:hint="eastAsia" w:ascii="仿宋_GB2312" w:hAnsi="仿宋_GB2312" w:eastAsia="仿宋_GB2312" w:cs="仿宋_GB2312"/>
          <w:color w:val="auto"/>
          <w:sz w:val="32"/>
          <w:szCs w:val="32"/>
          <w:highlight w:val="none"/>
          <w:lang w:val="en-US" w:eastAsia="zh-CN"/>
        </w:rPr>
        <w:t>与</w:t>
      </w:r>
      <w:r>
        <w:rPr>
          <w:rFonts w:hint="default" w:ascii="仿宋_GB2312" w:hAnsi="仿宋_GB2312" w:eastAsia="仿宋_GB2312" w:cs="仿宋_GB2312"/>
          <w:color w:val="auto"/>
          <w:sz w:val="32"/>
          <w:szCs w:val="32"/>
          <w:highlight w:val="none"/>
          <w:lang w:val="en-US"/>
        </w:rPr>
        <w:t>国土空间规划</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rPr>
        <w:t>电力设施规划、路网规划、停车设施规划、消防规划等</w:t>
      </w:r>
      <w:r>
        <w:rPr>
          <w:rFonts w:hint="eastAsia" w:ascii="仿宋_GB2312" w:hAnsi="仿宋_GB2312" w:eastAsia="仿宋_GB2312" w:cs="仿宋_GB2312"/>
          <w:color w:val="auto"/>
          <w:sz w:val="32"/>
          <w:szCs w:val="32"/>
          <w:highlight w:val="none"/>
          <w:lang w:val="en-US" w:eastAsia="zh-CN"/>
        </w:rPr>
        <w:t>规划进行</w:t>
      </w:r>
      <w:r>
        <w:rPr>
          <w:rFonts w:hint="default" w:ascii="仿宋_GB2312" w:hAnsi="仿宋_GB2312" w:eastAsia="仿宋_GB2312" w:cs="仿宋_GB2312"/>
          <w:color w:val="auto"/>
          <w:sz w:val="32"/>
          <w:szCs w:val="32"/>
          <w:highlight w:val="none"/>
          <w:lang w:val="en-US"/>
        </w:rPr>
        <w:t>有效衔接。</w:t>
      </w:r>
    </w:p>
    <w:p w14:paraId="2D0146E6">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依据广东省发展改革委关于电动汽车充电基础设施建设运营的管理办法（粤发改能电〔2016〕691号）第五条条款。</w:t>
      </w:r>
    </w:p>
    <w:p w14:paraId="273DF8E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五</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相关要求</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综合国家、地方对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的相关标准，各类</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配置场景的相关要求如下：</w:t>
      </w:r>
    </w:p>
    <w:p w14:paraId="5084328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（一）居住区停车场所。在居住区建设以智能有序慢充为主、应急快充为辅的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。新建住宅停车位应100%</w:t>
      </w:r>
      <w:r>
        <w:rPr>
          <w:rFonts w:hint="eastAsia" w:ascii="Times New Roman" w:hAnsi="Times New Roman" w:eastAsia="仿宋_GB2312" w:cs="Times New Roman"/>
          <w:color w:val="auto"/>
          <w:sz w:val="32"/>
          <w:szCs w:val="32"/>
          <w:highlight w:val="none"/>
        </w:rPr>
        <w:t>建设</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或预留安装条件。鼓励</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建设运营企业开展居住小区</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“统建统服”，统一提供建设、运营、维护等服务。</w:t>
      </w:r>
    </w:p>
    <w:p w14:paraId="46CD7486">
      <w:pPr>
        <w:keepNext w:val="0"/>
        <w:keepLines w:val="0"/>
        <w:pageBreakBefore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单位内部停车场所。在政府机关、企事业单位、工业园区等内部停车场，建设快慢结合的专用</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，并鼓励对公众开放。</w:t>
      </w:r>
    </w:p>
    <w:p w14:paraId="5FBE36A3">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（三）专用停车场站。公交、环卫、通勤、物流、警务等专用停车场站按需建设配备</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，鼓励有条件的专用场站对公众开放。</w:t>
      </w:r>
    </w:p>
    <w:p w14:paraId="74F3E154">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（四）城市公共停车场所。在商业中心、工业中心、休闲中心等建筑物配建停车场以及交通枢纽等公共停车场、道路停车泊位、旅游景区以及具备停车条件的可利用场地，建设以快充为主的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。鼓励在具备条件的加油（气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氢</w:t>
      </w:r>
      <w:r>
        <w:rPr>
          <w:rFonts w:ascii="Times New Roman" w:hAnsi="Times New Roman" w:eastAsia="仿宋_GB2312" w:cs="Times New Roman"/>
          <w:color w:val="auto"/>
          <w:sz w:val="32"/>
          <w:szCs w:val="32"/>
          <w:highlight w:val="none"/>
        </w:rPr>
        <w:t>）站配建公共快充桩。</w:t>
      </w:r>
    </w:p>
    <w:p w14:paraId="59A0CE2B">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高速公路服务区</w:t>
      </w:r>
      <w:r>
        <w:rPr>
          <w:rFonts w:hint="eastAsia" w:ascii="Times New Roman" w:hAnsi="Times New Roman" w:eastAsia="仿宋_GB2312" w:cs="Times New Roman"/>
          <w:color w:val="auto"/>
          <w:sz w:val="32"/>
          <w:szCs w:val="32"/>
          <w:highlight w:val="none"/>
          <w:lang w:val="en-US" w:eastAsia="zh-CN"/>
        </w:rPr>
        <w:t>按照</w:t>
      </w:r>
      <w:r>
        <w:rPr>
          <w:rFonts w:ascii="Times New Roman" w:hAnsi="Times New Roman" w:eastAsia="仿宋_GB2312" w:cs="Times New Roman"/>
          <w:color w:val="auto"/>
          <w:sz w:val="32"/>
          <w:szCs w:val="32"/>
          <w:highlight w:val="none"/>
        </w:rPr>
        <w:t>不低于小型客车停车位的</w:t>
      </w: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的比例配建</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或预留安装条件。</w:t>
      </w:r>
    </w:p>
    <w:p w14:paraId="563FB53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（六）农村地区停车场所。在人口集聚度高、车流量大、电网路网配套好的镇</w:t>
      </w:r>
      <w:r>
        <w:rPr>
          <w:rFonts w:hint="eastAsia" w:ascii="Times New Roman" w:hAnsi="Times New Roman" w:eastAsia="仿宋_GB2312" w:cs="Times New Roman"/>
          <w:color w:val="auto"/>
          <w:sz w:val="32"/>
          <w:szCs w:val="32"/>
          <w:highlight w:val="none"/>
          <w:lang w:val="en-US" w:eastAsia="zh-CN"/>
        </w:rPr>
        <w:t>人民</w:t>
      </w:r>
      <w:r>
        <w:rPr>
          <w:rFonts w:ascii="Times New Roman" w:hAnsi="Times New Roman" w:eastAsia="仿宋_GB2312" w:cs="Times New Roman"/>
          <w:color w:val="auto"/>
          <w:sz w:val="32"/>
          <w:szCs w:val="32"/>
          <w:highlight w:val="none"/>
        </w:rPr>
        <w:t>政府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街道办事处</w:t>
      </w:r>
      <w:r>
        <w:rPr>
          <w:rFonts w:ascii="Times New Roman" w:hAnsi="Times New Roman" w:eastAsia="仿宋_GB2312" w:cs="Times New Roman"/>
          <w:color w:val="auto"/>
          <w:sz w:val="32"/>
          <w:szCs w:val="32"/>
          <w:highlight w:val="none"/>
        </w:rPr>
        <w:t>、村委会等建设公共大功率快充站，在大型村镇、乡村旅游重点村以及农产品物流基地、集中安置区等建设快慢结合的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，形成家庭慢充为主、公共快充为辅的农村地区充电网络，实现</w:t>
      </w:r>
      <w:r>
        <w:rPr>
          <w:rFonts w:hint="eastAsia" w:ascii="Times New Roman" w:hAnsi="Times New Roman" w:eastAsia="仿宋_GB2312" w:cs="Times New Roman"/>
          <w:color w:val="auto"/>
          <w:sz w:val="32"/>
          <w:szCs w:val="32"/>
          <w:highlight w:val="none"/>
          <w:lang w:eastAsia="zh-CN"/>
        </w:rPr>
        <w:t>充电基础设施</w:t>
      </w:r>
      <w:r>
        <w:rPr>
          <w:rFonts w:hint="eastAsia" w:ascii="仿宋_GB2312" w:hAnsi="仿宋_GB2312" w:eastAsia="仿宋_GB2312" w:cs="仿宋_GB2312"/>
          <w:color w:val="auto"/>
          <w:sz w:val="32"/>
          <w:szCs w:val="32"/>
          <w:highlight w:val="none"/>
        </w:rPr>
        <w:t>“村村全覆盖”。</w:t>
      </w:r>
    </w:p>
    <w:p w14:paraId="121546B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依据广东省发展改革委关于电动汽车充电基础设施建设运营的管理办法（粤发改能电〔2016〕691号）第七条条款。</w:t>
      </w:r>
    </w:p>
    <w:p w14:paraId="11665564">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六</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调整机制</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规划实施过程中，可根据新能源汽车推广应用规模和</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布局需求进行适时调整，调整后由编制单位按程序公开发布实施。</w:t>
      </w:r>
    </w:p>
    <w:p w14:paraId="17E4FBC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依据广东省发展改革委关于电动汽车充电基础设施建设运营的管理办法（粤发改能电〔2016〕691号）第七条条款。</w:t>
      </w:r>
    </w:p>
    <w:p w14:paraId="01DB9ED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七</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主体责任</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市发展改革局</w:t>
      </w:r>
      <w:r>
        <w:rPr>
          <w:rFonts w:ascii="Times New Roman" w:hAnsi="Times New Roman" w:eastAsia="仿宋_GB2312" w:cs="Times New Roman"/>
          <w:color w:val="auto"/>
          <w:sz w:val="32"/>
          <w:szCs w:val="32"/>
          <w:highlight w:val="none"/>
        </w:rPr>
        <w:t>承担统筹推进</w:t>
      </w:r>
      <w:r>
        <w:rPr>
          <w:rFonts w:hint="eastAsia" w:ascii="Times New Roman" w:hAnsi="Times New Roman" w:eastAsia="仿宋_GB2312" w:cs="Times New Roman"/>
          <w:color w:val="auto"/>
          <w:sz w:val="32"/>
          <w:szCs w:val="32"/>
          <w:highlight w:val="none"/>
          <w:lang w:eastAsia="zh-CN"/>
        </w:rPr>
        <w:t>全</w:t>
      </w:r>
      <w:r>
        <w:rPr>
          <w:rFonts w:ascii="Times New Roman" w:hAnsi="Times New Roman" w:eastAsia="仿宋_GB2312" w:cs="Times New Roman"/>
          <w:color w:val="auto"/>
          <w:sz w:val="32"/>
          <w:szCs w:val="32"/>
          <w:highlight w:val="none"/>
        </w:rPr>
        <w:t>市</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规划建设的主体责任，负责落实本</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建设任务。</w:t>
      </w:r>
    </w:p>
    <w:p w14:paraId="07C90CED">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依据苏州市新能源汽车充电基础设施建设运营管理办法（公开征求意见稿）第八条。</w:t>
      </w:r>
    </w:p>
    <w:p w14:paraId="23F0485D">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p>
    <w:p w14:paraId="2C62B5EB">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lang w:val="en-US" w:eastAsia="zh-CN" w:bidi="ar"/>
        </w:rPr>
        <w:t>第三章 建设管理</w:t>
      </w:r>
    </w:p>
    <w:p w14:paraId="6C4F3CFC">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八</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投资主体</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个人、企业、行政事业单位和其他组织，可在其依法拥有所有权或使用权的停车场所上投资建设</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，或引入社会资本投资建设。</w:t>
      </w:r>
    </w:p>
    <w:p w14:paraId="5AB30BC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依据广东省发展改革委关于电动汽车充电基础设施建设运营的管理办法（粤发改能电〔2016〕691号）第八条条款。</w:t>
      </w:r>
    </w:p>
    <w:p w14:paraId="5FB3808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val="en-US" w:eastAsia="zh-CN"/>
        </w:rPr>
        <w:t>第九条【建设要求】</w:t>
      </w:r>
      <w:r>
        <w:rPr>
          <w:rFonts w:hint="eastAsia" w:ascii="Times New Roman" w:hAnsi="Times New Roman" w:eastAsia="仿宋_GB2312" w:cs="Times New Roman"/>
          <w:color w:val="auto"/>
          <w:sz w:val="32"/>
          <w:szCs w:val="32"/>
          <w:highlight w:val="none"/>
          <w:lang w:val="en-US" w:eastAsia="zh-CN"/>
        </w:rPr>
        <w:t xml:space="preserve">  除个人自用以外投资建设的充电基础设施在项目开工建设前，需征求消防、交通、城管、自然资源、供电等部门意见</w:t>
      </w:r>
      <w:r>
        <w:rPr>
          <w:rFonts w:ascii="Times New Roman" w:hAnsi="Times New Roman" w:eastAsia="仿宋_GB2312" w:cs="Times New Roman"/>
          <w:color w:val="auto"/>
          <w:sz w:val="32"/>
          <w:szCs w:val="32"/>
          <w:highlight w:val="none"/>
        </w:rPr>
        <w:t>。</w:t>
      </w:r>
    </w:p>
    <w:p w14:paraId="5005BC0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kern w:val="0"/>
          <w:sz w:val="32"/>
          <w:szCs w:val="32"/>
          <w:highlight w:val="none"/>
          <w:lang w:eastAsia="zh-CN" w:bidi="ar"/>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编制说明</w:t>
      </w:r>
      <w:r>
        <w:rPr>
          <w:rFonts w:hint="eastAsia" w:ascii="楷体_GB2312" w:hAnsi="楷体_GB2312" w:eastAsia="楷体_GB2312" w:cs="楷体_GB2312"/>
          <w:b/>
          <w:bCs/>
          <w:color w:val="auto"/>
          <w:sz w:val="32"/>
          <w:szCs w:val="32"/>
          <w:highlight w:val="none"/>
          <w:lang w:eastAsia="zh-CN"/>
        </w:rPr>
        <w:t>】</w:t>
      </w: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消防法》第十条，对按照国家工程建设消防技术标准需要进行消防设计的建设工程，实行建设工程消防设计审查验收制度。充电设施的建设属于建设工程范畴，且其涉及电气设备等，存在一定的火灾风险，因此必须征求消防部门的意见，以确保其符合消防安全要求，避免火灾隐患。</w:t>
      </w:r>
    </w:p>
    <w:p w14:paraId="650436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lang w:eastAsia="zh-CN"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道路交通安全法》，交通管理部门负责道路交通安全和交通秩序的管理。充电设施的建设可能会对周边交通流量、交通组织等产生影响，如在停车场出入口附近建设充电设施可能影响车辆进出的顺畅性，在公共道路附近的停车场建设充电设施可能影响道路通行能力等。因此，需要征求交通部门的意见，以确保充电设施的建设符合交通规划和管理要求，保障道路交通的安全与畅通。</w:t>
      </w:r>
    </w:p>
    <w:p w14:paraId="76F042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lang w:eastAsia="zh-CN"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城市道路管理条例》，城管部门负责城市道路等市政设施的管理和维护。如果充电设施的建设涉及到城市道路、公共场地等市政设施的占用或使用，需要征求城管部门的意见，以确保其符合城市管理的相关规定，避免对市政设施造成损坏或影响其正常使用。</w:t>
      </w:r>
    </w:p>
    <w:p w14:paraId="1E5E06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lang w:eastAsia="zh-CN"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《中华人民共和国城乡规划法》，自然资源部门负责城乡规划的管理和监督工作。充电设施的建设需要符合城乡规划要求，包括土地利用规划、城市总体规划等。</w:t>
      </w:r>
    </w:p>
    <w:p w14:paraId="076136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《中华人民共和国电力法》，供电部门对电力供应和使用进行管理和监督。充电设施的建设涉及到用电接入、电力负荷等问题，需要征求供电部门的意见，以确保充电设施的用电安全和稳定供应。</w:t>
      </w:r>
    </w:p>
    <w:p w14:paraId="2F6AD6D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ascii="Times New Roman" w:hAnsi="Times New Roman" w:eastAsia="黑体" w:cs="Times New Roman"/>
          <w:color w:val="auto"/>
          <w:sz w:val="32"/>
          <w:szCs w:val="32"/>
          <w:highlight w:val="none"/>
        </w:rPr>
        <w:t>第十条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手续办理</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按照简政放权、放管结合、优化服务的要求，对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建设实行简化的</w:t>
      </w:r>
      <w:r>
        <w:rPr>
          <w:rFonts w:hint="eastAsia" w:ascii="Times New Roman" w:hAnsi="Times New Roman" w:eastAsia="仿宋_GB2312" w:cs="Times New Roman"/>
          <w:color w:val="auto"/>
          <w:sz w:val="32"/>
          <w:szCs w:val="32"/>
          <w:highlight w:val="none"/>
          <w:lang w:val="en-US" w:eastAsia="zh-CN"/>
        </w:rPr>
        <w:t>办理</w:t>
      </w:r>
      <w:r>
        <w:rPr>
          <w:rFonts w:ascii="Times New Roman" w:hAnsi="Times New Roman" w:eastAsia="仿宋_GB2312" w:cs="Times New Roman"/>
          <w:color w:val="auto"/>
          <w:sz w:val="32"/>
          <w:szCs w:val="32"/>
          <w:highlight w:val="none"/>
        </w:rPr>
        <w:t>手续：</w:t>
      </w:r>
    </w:p>
    <w:p w14:paraId="2557078D">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ascii="Times New Roman" w:hAnsi="Times New Roman" w:eastAsia="仿宋_GB2312" w:cs="Times New Roman"/>
          <w:color w:val="auto"/>
          <w:sz w:val="32"/>
          <w:szCs w:val="32"/>
          <w:highlight w:val="none"/>
        </w:rPr>
        <w:t>）个人和机构在</w:t>
      </w:r>
      <w:r>
        <w:rPr>
          <w:rFonts w:hint="eastAsia" w:ascii="Times New Roman" w:hAnsi="Times New Roman" w:eastAsia="仿宋_GB2312" w:cs="Times New Roman"/>
          <w:color w:val="auto"/>
          <w:sz w:val="32"/>
          <w:szCs w:val="32"/>
          <w:highlight w:val="none"/>
          <w:lang w:val="en-US" w:eastAsia="zh-CN"/>
        </w:rPr>
        <w:t>自有</w:t>
      </w:r>
      <w:r>
        <w:rPr>
          <w:rFonts w:ascii="Times New Roman" w:hAnsi="Times New Roman" w:eastAsia="仿宋_GB2312" w:cs="Times New Roman"/>
          <w:color w:val="auto"/>
          <w:sz w:val="32"/>
          <w:szCs w:val="32"/>
          <w:highlight w:val="none"/>
        </w:rPr>
        <w:t>停车位安装</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的，按一般电气设备安装管理，可免于办理项目备案，无需办理建设用地规划许可证、建设工程规划许可证和施工许可证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法律规定需要办理的除外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A846B5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（二）不对外运营的专用充电基础设施。无需新增用地面积的项目，无需办理备案审批及相关报建手续；新增占地面积的项目，在市发展改革局履行备案程序，并办理相关报建手续。</w:t>
      </w:r>
    </w:p>
    <w:p w14:paraId="0335FB91">
      <w:pPr>
        <w:keepNext w:val="0"/>
        <w:keepLines w:val="0"/>
        <w:pageBreakBefore w:val="0"/>
        <w:widowControl/>
        <w:numPr>
          <w:ilvl w:val="0"/>
          <w:numId w:val="1"/>
        </w:numPr>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对外运营的专用充电基础设施及公用充电基础设施，需按有关规定在市发展改革局办理备案手续。其中，</w:t>
      </w:r>
      <w:r>
        <w:rPr>
          <w:rFonts w:ascii="Times New Roman" w:hAnsi="Times New Roman" w:eastAsia="仿宋_GB2312" w:cs="Times New Roman"/>
          <w:color w:val="auto"/>
          <w:sz w:val="32"/>
          <w:szCs w:val="32"/>
          <w:highlight w:val="none"/>
        </w:rPr>
        <w:t>新建独立占地的集中式</w:t>
      </w:r>
      <w:r>
        <w:rPr>
          <w:rFonts w:hint="eastAsia" w:ascii="Times New Roman" w:hAnsi="Times New Roman" w:eastAsia="仿宋_GB2312" w:cs="Times New Roman"/>
          <w:color w:val="auto"/>
          <w:sz w:val="32"/>
          <w:szCs w:val="32"/>
          <w:highlight w:val="none"/>
          <w:lang w:eastAsia="zh-CN"/>
        </w:rPr>
        <w:t>充电基础设施</w:t>
      </w:r>
      <w:r>
        <w:rPr>
          <w:rFonts w:hint="eastAsia" w:ascii="仿宋_GB2312" w:hAnsi="仿宋_GB2312" w:eastAsia="仿宋_GB2312" w:cs="仿宋_GB2312"/>
          <w:color w:val="auto"/>
          <w:kern w:val="0"/>
          <w:sz w:val="32"/>
          <w:szCs w:val="32"/>
          <w:highlight w:val="none"/>
          <w:lang w:val="en-US" w:eastAsia="zh-CN" w:bidi="ar"/>
        </w:rPr>
        <w:t>项目还需办理规划建设相关手续。</w:t>
      </w:r>
    </w:p>
    <w:p w14:paraId="52D1810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（四）建设城市公共停车场（楼）时，无需为同步建设充电基础设施单独办理建设工程规划许可证和施工许可证。</w:t>
      </w:r>
    </w:p>
    <w:p w14:paraId="4C36591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（五）利用市政道路建设充电桩的，如涉及道路交通管理，参照市政配套设施建设的有关规定，向市道路主管部门和公安机关交通管理部门办理相关手续。</w:t>
      </w:r>
    </w:p>
    <w:p w14:paraId="0AE3C8B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（六）在不改变土地使用性质的前提下，利用现有建设用地建设充电站，市自然资源部门和住建部门按照规定办理建设用地规划许可证、建设工程规划许可证和施工许可证。</w:t>
      </w:r>
    </w:p>
    <w:p w14:paraId="747A961F">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依据苏州市新能源汽车充电基础设施建设运营管理办法（公开征求意见稿）第十一条。</w:t>
      </w:r>
    </w:p>
    <w:p w14:paraId="7BCB2DD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 xml:space="preserve">第十一条【报装要求】  </w:t>
      </w:r>
      <w:r>
        <w:rPr>
          <w:rFonts w:hint="eastAsia" w:ascii="仿宋_GB2312" w:hAnsi="仿宋_GB2312" w:eastAsia="仿宋_GB2312" w:cs="仿宋_GB2312"/>
          <w:color w:val="auto"/>
          <w:kern w:val="0"/>
          <w:sz w:val="32"/>
          <w:szCs w:val="32"/>
          <w:highlight w:val="none"/>
          <w:lang w:val="en-US" w:eastAsia="zh-CN" w:bidi="ar"/>
        </w:rPr>
        <w:t>充电基础设施配套供电建设及报装要求：</w:t>
      </w:r>
    </w:p>
    <w:p w14:paraId="33303068">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自用充电基础设施。由居民个人直接向开平供电局申请接入报装，物业服务企业应支持和配合建设，物业服务企业不得借机收取费用。根据充电基础设施报装流程，建议用户、充电基础设施安装方、物业服务企业三方在安装前签订电动汽车自用充电基础设施安装承诺书，用户按照相关管理规定向物业服务企业报备。</w:t>
      </w:r>
    </w:p>
    <w:p w14:paraId="4B8D69B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（二）专用充电基础设施、公用充电基础设施。需增容改造的，向开平供电局提出报装申请。</w:t>
      </w:r>
    </w:p>
    <w:p w14:paraId="3A97EC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（三）充电基础设施建设运营企业在建设充电基础设施前，应当取得业主委员会的同意。在住宅小区建设充电基础设施，不得侵犯业主的合法权益。</w:t>
      </w:r>
    </w:p>
    <w:p w14:paraId="5DC93D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（四）开平供电局应对充电基础设施安装建设提供电网接入支持，并设置专用服务窗口，简化办事程序，限时办结。</w:t>
      </w:r>
    </w:p>
    <w:p w14:paraId="035DA2D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依据广东省发展改革委关于电动汽车充电基础设施建设运营的管理办法（粤发改能电〔2016〕691号）第九条条款。</w:t>
      </w:r>
    </w:p>
    <w:p w14:paraId="344FDC25">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 xml:space="preserve">第十二条【技术标准】  </w:t>
      </w:r>
      <w:r>
        <w:rPr>
          <w:rFonts w:hint="eastAsia" w:ascii="仿宋_GB2312" w:hAnsi="仿宋_GB2312" w:eastAsia="仿宋_GB2312" w:cs="仿宋_GB2312"/>
          <w:color w:val="auto"/>
          <w:kern w:val="0"/>
          <w:sz w:val="32"/>
          <w:szCs w:val="32"/>
          <w:highlight w:val="none"/>
          <w:lang w:val="en-US" w:eastAsia="zh-CN" w:bidi="ar"/>
        </w:rPr>
        <w:t>充电基础设施及配套电网建设应当符合国家、行业和地方相关技术标准、设计规范和管理要求。</w:t>
      </w:r>
    </w:p>
    <w:p w14:paraId="667ACE7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依据苏州市新能源汽车充电基础设施建设运营管理办法（公开征求意见稿）第十二条。</w:t>
      </w:r>
      <w:r>
        <w:rPr>
          <w:rFonts w:hint="eastAsia" w:ascii="Times New Roman" w:hAnsi="Times New Roman" w:eastAsia="黑体" w:cs="Times New Roman"/>
          <w:color w:val="auto"/>
          <w:sz w:val="32"/>
          <w:szCs w:val="32"/>
          <w:highlight w:val="none"/>
          <w:lang w:val="en-US" w:eastAsia="zh-CN"/>
        </w:rPr>
        <w:t xml:space="preserve">    </w:t>
      </w:r>
    </w:p>
    <w:p w14:paraId="6939EE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第十三条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计量要求</w:t>
      </w:r>
      <w:r>
        <w:rPr>
          <w:rFonts w:hint="eastAsia" w:ascii="Times New Roman" w:hAnsi="Times New Roman" w:eastAsia="黑体" w:cs="Times New Roman"/>
          <w:color w:val="auto"/>
          <w:sz w:val="32"/>
          <w:szCs w:val="32"/>
          <w:highlight w:val="none"/>
          <w:lang w:eastAsia="zh-CN"/>
        </w:rPr>
        <w:t>】</w:t>
      </w:r>
      <w:r>
        <w:rPr>
          <w:rFonts w:ascii="Times New Roman" w:hAnsi="Times New Roman" w:eastAsia="黑体"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的计量性能应符合国家计量技术规范的规定。</w:t>
      </w:r>
    </w:p>
    <w:p w14:paraId="2C5D05D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依据苏州市新能源汽车充电基础设施建设运营管理办法（公开征求意见稿）第十三条。</w:t>
      </w:r>
    </w:p>
    <w:p w14:paraId="63635E5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val="en-US" w:eastAsia="zh-CN"/>
        </w:rPr>
        <w:t>四</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建设规范要求</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建设应当符合国家消防规范并配置电器专用消防设备，符合市容市貌管理和市政设施管理的相关规定。</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在公路两侧建设要符合公路管理的相关规定，不得在公路用地和公路建筑控制区内建设。</w:t>
      </w:r>
    </w:p>
    <w:p w14:paraId="5F38C69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依据苏州市新能源汽车充电基础设施建设运营管理办法（公开征求意见稿）第十五条。</w:t>
      </w:r>
    </w:p>
    <w:p w14:paraId="3697A315">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val="en-US" w:eastAsia="zh-CN"/>
        </w:rPr>
        <w:t>五</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安全相关要求</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充电基础设施建设运营企业（或个人）应当承担充电基础设施维修更新养护及侵害第三者权益责任。</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建设不得影响消防车通行、登高作业和人员疏散逃生等。在平时用作停车位的人防工程中安装</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的，需符合人防部门的相关监管要求，不得损害影响战时防护功能。</w:t>
      </w:r>
    </w:p>
    <w:p w14:paraId="7EEC29E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依据苏州市新能源汽车充电基础设施建设运营管理办法（公开征求意见稿）第十六条。</w:t>
      </w:r>
    </w:p>
    <w:p w14:paraId="044488F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
        </w:rPr>
      </w:pPr>
      <w:r>
        <w:rPr>
          <w:rFonts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val="en-US" w:eastAsia="zh-CN"/>
        </w:rPr>
        <w:t>六</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验收程序</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bidi="ar"/>
        </w:rPr>
        <w:t>充电基础设施</w:t>
      </w:r>
      <w:r>
        <w:rPr>
          <w:rFonts w:hint="eastAsia" w:ascii="仿宋_GB2312" w:hAnsi="仿宋_GB2312" w:eastAsia="仿宋_GB2312" w:cs="仿宋_GB2312"/>
          <w:color w:val="auto"/>
          <w:kern w:val="0"/>
          <w:sz w:val="32"/>
          <w:szCs w:val="32"/>
          <w:highlight w:val="none"/>
          <w:lang w:bidi="ar"/>
        </w:rPr>
        <w:t>建设完成后，</w:t>
      </w:r>
      <w:r>
        <w:rPr>
          <w:rFonts w:hint="eastAsia" w:ascii="仿宋_GB2312" w:hAnsi="仿宋_GB2312" w:eastAsia="仿宋_GB2312" w:cs="仿宋_GB2312"/>
          <w:color w:val="auto"/>
          <w:spacing w:val="0"/>
          <w:kern w:val="0"/>
          <w:sz w:val="32"/>
          <w:szCs w:val="32"/>
          <w:highlight w:val="none"/>
          <w:lang w:bidi="ar"/>
        </w:rPr>
        <w:t>施工单位</w:t>
      </w:r>
      <w:r>
        <w:rPr>
          <w:rFonts w:hint="eastAsia" w:ascii="仿宋_GB2312" w:hAnsi="仿宋_GB2312" w:eastAsia="仿宋_GB2312" w:cs="仿宋_GB2312"/>
          <w:color w:val="auto"/>
          <w:spacing w:val="0"/>
          <w:kern w:val="0"/>
          <w:sz w:val="32"/>
          <w:szCs w:val="32"/>
          <w:highlight w:val="none"/>
          <w:lang w:val="en-US" w:eastAsia="zh-CN" w:bidi="ar"/>
        </w:rPr>
        <w:t>须</w:t>
      </w:r>
      <w:r>
        <w:rPr>
          <w:rFonts w:hint="eastAsia" w:ascii="仿宋_GB2312" w:hAnsi="仿宋_GB2312" w:eastAsia="仿宋_GB2312" w:cs="仿宋_GB2312"/>
          <w:color w:val="auto"/>
          <w:spacing w:val="0"/>
          <w:kern w:val="0"/>
          <w:sz w:val="32"/>
          <w:szCs w:val="32"/>
          <w:highlight w:val="none"/>
          <w:lang w:bidi="ar"/>
        </w:rPr>
        <w:t>开展验收工作，委托有资质的第三方机构对申请验收项目进行现场技术确认工作，确保符合有关国家、行业和地方标准</w:t>
      </w:r>
      <w:r>
        <w:rPr>
          <w:rFonts w:hint="eastAsia" w:ascii="仿宋_GB2312" w:hAnsi="仿宋_GB2312" w:eastAsia="仿宋_GB2312" w:cs="仿宋_GB2312"/>
          <w:color w:val="auto"/>
          <w:spacing w:val="0"/>
          <w:kern w:val="0"/>
          <w:sz w:val="32"/>
          <w:szCs w:val="32"/>
          <w:highlight w:val="none"/>
          <w:lang w:eastAsia="zh-CN" w:bidi="ar"/>
        </w:rPr>
        <w:t>，</w:t>
      </w:r>
      <w:r>
        <w:rPr>
          <w:rFonts w:hint="eastAsia" w:ascii="仿宋_GB2312" w:hAnsi="仿宋_GB2312" w:eastAsia="仿宋_GB2312" w:cs="仿宋_GB2312"/>
          <w:color w:val="auto"/>
          <w:spacing w:val="0"/>
          <w:kern w:val="0"/>
          <w:sz w:val="32"/>
          <w:szCs w:val="32"/>
          <w:highlight w:val="none"/>
          <w:lang w:bidi="ar"/>
        </w:rPr>
        <w:t>出具验收核查报告，保留验收资料备查</w:t>
      </w:r>
      <w:r>
        <w:rPr>
          <w:rFonts w:hint="eastAsia" w:ascii="仿宋_GB2312" w:hAnsi="仿宋_GB2312" w:eastAsia="仿宋_GB2312" w:cs="仿宋_GB2312"/>
          <w:color w:val="auto"/>
          <w:spacing w:val="0"/>
          <w:kern w:val="0"/>
          <w:sz w:val="32"/>
          <w:szCs w:val="32"/>
          <w:highlight w:val="none"/>
          <w:lang w:eastAsia="zh-CN" w:bidi="ar"/>
        </w:rPr>
        <w:t>，</w:t>
      </w:r>
      <w:r>
        <w:rPr>
          <w:rFonts w:hint="eastAsia" w:ascii="仿宋_GB2312" w:hAnsi="仿宋_GB2312" w:eastAsia="仿宋_GB2312" w:cs="仿宋_GB2312"/>
          <w:color w:val="auto"/>
          <w:spacing w:val="0"/>
          <w:kern w:val="0"/>
          <w:sz w:val="32"/>
          <w:szCs w:val="32"/>
          <w:highlight w:val="none"/>
          <w:lang w:val="en-US" w:eastAsia="zh-CN" w:bidi="ar"/>
        </w:rPr>
        <w:t>并向主管部门报备（个人充电基础设施除外）</w:t>
      </w:r>
      <w:r>
        <w:rPr>
          <w:rFonts w:hint="eastAsia" w:ascii="仿宋_GB2312" w:hAnsi="仿宋_GB2312" w:eastAsia="仿宋_GB2312" w:cs="仿宋_GB2312"/>
          <w:color w:val="auto"/>
          <w:spacing w:val="0"/>
          <w:kern w:val="0"/>
          <w:sz w:val="32"/>
          <w:szCs w:val="32"/>
          <w:highlight w:val="none"/>
          <w:lang w:bidi="ar"/>
        </w:rPr>
        <w:t>。</w:t>
      </w:r>
    </w:p>
    <w:p w14:paraId="56058B2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pacing w:val="0"/>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依据苏州市新能源汽车充电基础设施建设运营管理办法（公开征求意见稿）第十七条。</w:t>
      </w:r>
    </w:p>
    <w:p w14:paraId="5F66F4C7">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第十七条【建设保障】</w:t>
      </w:r>
      <w:r>
        <w:rPr>
          <w:rFonts w:hint="eastAsia" w:ascii="仿宋_GB2312" w:hAnsi="仿宋_GB2312" w:eastAsia="仿宋_GB2312" w:cs="仿宋_GB2312"/>
          <w:color w:val="auto"/>
          <w:kern w:val="0"/>
          <w:sz w:val="32"/>
          <w:szCs w:val="32"/>
          <w:highlight w:val="none"/>
          <w:lang w:val="en-US" w:eastAsia="zh-CN" w:bidi="ar"/>
        </w:rPr>
        <w:t xml:space="preserve">  充电基础设施建设运营企业在居住（小）区、办公场所、停车场等地安装充电基础设施的，物业服务企业应当支持和配合开展现场勘查、用电安装、施工建设等工作。</w:t>
      </w:r>
    </w:p>
    <w:p w14:paraId="6409E45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依据广东省发展改革委关于电动汽车充电基础设施建设运营的管理办法（粤发改能电〔2016〕691号）第九条条款。</w:t>
      </w:r>
    </w:p>
    <w:p w14:paraId="600459A9">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2D8E48D3">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第四章 运营管理</w:t>
      </w:r>
    </w:p>
    <w:p w14:paraId="3918A64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第十八条【标识内容】</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经营场所应当在符合交通标志标牌国标的基础上设置完备的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标识标志，并设置服务指南，包括运营企业名称、运营时间、</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参数、操作流程、收费标准、支付方式以及服务和投诉电话等内容。</w:t>
      </w:r>
    </w:p>
    <w:p w14:paraId="1911143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依据广东省发展改革委关于电动汽车充电基础设施建设运营的管理办法（粤发改能电〔2016〕691号）第十条条款。</w:t>
      </w:r>
    </w:p>
    <w:p w14:paraId="64B08D5B">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第十九条【保险购买】</w:t>
      </w:r>
      <w:r>
        <w:rPr>
          <w:rFonts w:hint="eastAsia" w:ascii="仿宋_GB2312" w:hAnsi="仿宋_GB2312" w:eastAsia="仿宋_GB2312" w:cs="仿宋_GB2312"/>
          <w:color w:val="auto"/>
          <w:kern w:val="0"/>
          <w:sz w:val="32"/>
          <w:szCs w:val="32"/>
          <w:highlight w:val="none"/>
          <w:lang w:val="en-US" w:eastAsia="zh-CN" w:bidi="ar"/>
        </w:rPr>
        <w:t xml:space="preserve">  鼓励充电基础设施建设运营企业为本企业运营的充电基础设施购买安全责任保险。鼓励充电基础设施建设运营企业购买财产险、产品责任险、火灾险等险种，保护消费者权益。</w:t>
      </w:r>
    </w:p>
    <w:p w14:paraId="08630A41">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依据江门市电动汽车充电基础设施安全管理办法（征求意见稿）第十八条。</w:t>
      </w:r>
      <w:r>
        <w:rPr>
          <w:rFonts w:hint="eastAsia" w:ascii="Times New Roman" w:hAnsi="Times New Roman" w:eastAsia="黑体" w:cs="Times New Roman"/>
          <w:color w:val="auto"/>
          <w:sz w:val="32"/>
          <w:szCs w:val="32"/>
          <w:highlight w:val="none"/>
          <w:lang w:val="en-US" w:eastAsia="zh-CN"/>
        </w:rPr>
        <w:t xml:space="preserve">    </w:t>
      </w:r>
    </w:p>
    <w:p w14:paraId="763D89DB">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第二十条【收费规则】</w:t>
      </w:r>
      <w:r>
        <w:rPr>
          <w:rFonts w:hint="eastAsia" w:ascii="仿宋_GB2312" w:hAnsi="仿宋_GB2312" w:eastAsia="仿宋_GB2312" w:cs="仿宋_GB2312"/>
          <w:color w:val="auto"/>
          <w:kern w:val="0"/>
          <w:sz w:val="32"/>
          <w:szCs w:val="32"/>
          <w:highlight w:val="none"/>
          <w:lang w:val="en-US" w:eastAsia="zh-CN" w:bidi="ar"/>
        </w:rPr>
        <w:t xml:space="preserve">  充电基础设施建设运营企业可向用户收取电费及充电服务费，费用收取应当明码标价并符合价格主管部门的规定。</w:t>
      </w:r>
    </w:p>
    <w:p w14:paraId="7C1A42A8">
      <w:pPr>
        <w:keepNext w:val="0"/>
        <w:keepLines w:val="0"/>
        <w:pageBreakBefore w:val="0"/>
        <w:widowControl/>
        <w:suppressLineNumbers w:val="0"/>
        <w:kinsoku/>
        <w:wordWrap/>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依据苏州市新能源汽车充电基础设施建设运营管理办法（公开征求意见稿）第二十二条。</w:t>
      </w:r>
    </w:p>
    <w:p w14:paraId="276C7A5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第二十一条【智能化提升】</w:t>
      </w:r>
      <w:r>
        <w:rPr>
          <w:rFonts w:hint="eastAsia" w:ascii="仿宋_GB2312" w:hAnsi="仿宋_GB2312" w:eastAsia="仿宋_GB2312" w:cs="仿宋_GB2312"/>
          <w:color w:val="auto"/>
          <w:kern w:val="0"/>
          <w:sz w:val="32"/>
          <w:szCs w:val="32"/>
          <w:highlight w:val="none"/>
          <w:lang w:val="en-US" w:eastAsia="zh-CN" w:bidi="ar"/>
        </w:rPr>
        <w:t xml:space="preserve">  充电基础设施建设运营企业应当综合运用互联网、人工智能、大数据等技术，提升充电服务的智能化水平，促进新能源汽车和智能电网间能量与信息的双向互动。</w:t>
      </w:r>
    </w:p>
    <w:p w14:paraId="6E26ED04">
      <w:pPr>
        <w:keepNext w:val="0"/>
        <w:keepLines w:val="0"/>
        <w:pageBreakBefore w:val="0"/>
        <w:widowControl/>
        <w:suppressLineNumbers w:val="0"/>
        <w:kinsoku/>
        <w:wordWrap/>
        <w:topLinePunct w:val="0"/>
        <w:autoSpaceDE/>
        <w:autoSpaceDN/>
        <w:bidi w:val="0"/>
        <w:adjustRightInd/>
        <w:snapToGrid/>
        <w:spacing w:line="240" w:lineRule="auto"/>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依据苏州市新能源汽车充电基础设施建设运营管理办法（公开征求意见稿）第二十条。</w:t>
      </w:r>
    </w:p>
    <w:p w14:paraId="62464A9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第二十二条【设施停运处理】</w:t>
      </w:r>
      <w:r>
        <w:rPr>
          <w:rFonts w:hint="eastAsia" w:ascii="仿宋_GB2312" w:hAnsi="仿宋_GB2312" w:eastAsia="仿宋_GB2312" w:cs="仿宋_GB2312"/>
          <w:color w:val="auto"/>
          <w:kern w:val="0"/>
          <w:sz w:val="32"/>
          <w:szCs w:val="32"/>
          <w:highlight w:val="none"/>
          <w:lang w:val="en-US" w:eastAsia="zh-CN" w:bidi="ar"/>
        </w:rPr>
        <w:t xml:space="preserve">  充电基础设施不再运营的，充电基础设施建设运营企业应当向开平供电局办理拆表销户手续，拆除充电基础设施，并于当月将设施拆除信息上报市发展改革局。</w:t>
      </w:r>
    </w:p>
    <w:p w14:paraId="4A3C7BA7">
      <w:pPr>
        <w:keepNext w:val="0"/>
        <w:keepLines w:val="0"/>
        <w:pageBreakBefore w:val="0"/>
        <w:kinsoku/>
        <w:wordWrap/>
        <w:topLinePunct w:val="0"/>
        <w:autoSpaceDE/>
        <w:autoSpaceDN/>
        <w:bidi w:val="0"/>
        <w:adjustRightInd/>
        <w:snapToGrid/>
        <w:spacing w:before="2" w:line="560" w:lineRule="exact"/>
        <w:ind w:left="32" w:firstLine="619"/>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对于应备未备建设项目、强制检定不合格以及存在安全隐患的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lang w:val="en-US" w:eastAsia="zh-CN"/>
        </w:rPr>
        <w:t>行业主管部门依法处理</w:t>
      </w:r>
      <w:r>
        <w:rPr>
          <w:rFonts w:hint="eastAsia" w:ascii="Times New Roman" w:hAnsi="Times New Roman" w:eastAsia="仿宋_GB2312" w:cs="Times New Roman"/>
          <w:color w:val="auto"/>
          <w:sz w:val="32"/>
          <w:szCs w:val="32"/>
          <w:highlight w:val="none"/>
          <w:lang w:eastAsia="zh-CN"/>
        </w:rPr>
        <w:t>。</w:t>
      </w:r>
    </w:p>
    <w:p w14:paraId="2A5C0FB0">
      <w:pPr>
        <w:keepNext w:val="0"/>
        <w:keepLines w:val="0"/>
        <w:pageBreakBefore w:val="0"/>
        <w:kinsoku/>
        <w:wordWrap/>
        <w:topLinePunct w:val="0"/>
        <w:autoSpaceDE/>
        <w:autoSpaceDN/>
        <w:bidi w:val="0"/>
        <w:adjustRightInd/>
        <w:snapToGrid/>
        <w:spacing w:before="0" w:line="240" w:lineRule="auto"/>
        <w:ind w:left="0" w:firstLine="0"/>
        <w:textAlignment w:val="auto"/>
        <w:rPr>
          <w:rFonts w:hint="default" w:ascii="Times New Roman" w:hAnsi="Times New Roman" w:eastAsia="楷体_GB2312" w:cs="Times New Roman"/>
          <w:color w:val="auto"/>
          <w:kern w:val="0"/>
          <w:sz w:val="32"/>
          <w:szCs w:val="32"/>
          <w:highlight w:val="none"/>
          <w:lang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依据苏州市新能源汽车充电基础设施建设运营管理办法（公开征求意见稿）第二十三条。</w:t>
      </w:r>
    </w:p>
    <w:p w14:paraId="5999D1A5">
      <w:pPr>
        <w:keepNext w:val="0"/>
        <w:keepLines w:val="0"/>
        <w:pageBreakBefore w:val="0"/>
        <w:kinsoku/>
        <w:wordWrap/>
        <w:topLinePunct w:val="0"/>
        <w:autoSpaceDE/>
        <w:autoSpaceDN/>
        <w:bidi w:val="0"/>
        <w:adjustRightInd/>
        <w:snapToGrid/>
        <w:spacing w:before="3" w:line="560" w:lineRule="exact"/>
        <w:ind w:left="14" w:firstLine="631"/>
        <w:textAlignment w:val="auto"/>
        <w:rPr>
          <w:rFonts w:ascii="Times New Roman" w:hAnsi="Times New Roman" w:eastAsia="仿宋_GB2312"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 xml:space="preserve">第二十三条【运营质量保障】  </w:t>
      </w:r>
      <w:r>
        <w:rPr>
          <w:rFonts w:hint="eastAsia" w:ascii="Times New Roman" w:hAnsi="Times New Roman" w:eastAsia="仿宋_GB2312" w:cs="Times New Roman"/>
          <w:color w:val="auto"/>
          <w:sz w:val="32"/>
          <w:szCs w:val="32"/>
          <w:highlight w:val="none"/>
          <w:lang w:val="en-US" w:eastAsia="zh-CN"/>
        </w:rPr>
        <w:t>充电基础设施建设运营企业需</w:t>
      </w:r>
      <w:r>
        <w:rPr>
          <w:rFonts w:ascii="Times New Roman" w:hAnsi="Times New Roman" w:eastAsia="仿宋_GB2312" w:cs="Times New Roman"/>
          <w:color w:val="auto"/>
          <w:sz w:val="32"/>
          <w:szCs w:val="32"/>
          <w:highlight w:val="none"/>
        </w:rPr>
        <w:t>具备</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建设运营质量保证能力，健全运行维护管理制度，对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及运营网络定期维修保养、升级改造及配套服务，建立服务投诉处理机制，及时处理</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故障和用户咨询、投诉。</w:t>
      </w:r>
    </w:p>
    <w:p w14:paraId="1396CD94">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依据深圳新能源汽车充换电设施管理办法（深发改规〔2023〕10号）第二十七条</w:t>
      </w:r>
      <w:r>
        <w:rPr>
          <w:rFonts w:hint="eastAsia" w:ascii="Times New Roman" w:hAnsi="Times New Roman" w:eastAsia="楷体_GB2312" w:cs="Times New Roman"/>
          <w:color w:val="auto"/>
          <w:kern w:val="0"/>
          <w:sz w:val="32"/>
          <w:szCs w:val="32"/>
          <w:highlight w:val="none"/>
          <w:lang w:val="en-US" w:eastAsia="zh-CN" w:bidi="ar"/>
        </w:rPr>
        <w:t>。</w:t>
      </w:r>
      <w:r>
        <w:rPr>
          <w:rFonts w:hint="eastAsia" w:ascii="Times New Roman" w:hAnsi="Times New Roman" w:eastAsia="黑体" w:cs="Times New Roman"/>
          <w:color w:val="auto"/>
          <w:sz w:val="32"/>
          <w:szCs w:val="32"/>
          <w:highlight w:val="none"/>
          <w:lang w:val="en-US" w:eastAsia="zh-CN"/>
        </w:rPr>
        <w:t xml:space="preserve">    </w:t>
      </w:r>
    </w:p>
    <w:p w14:paraId="3B8A0BF0">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第二十四条【运营管理模式】  </w:t>
      </w:r>
      <w:r>
        <w:rPr>
          <w:rFonts w:hint="eastAsia" w:ascii="仿宋_GB2312" w:hAnsi="仿宋_GB2312" w:eastAsia="仿宋_GB2312" w:cs="仿宋_GB2312"/>
          <w:color w:val="auto"/>
          <w:sz w:val="32"/>
          <w:szCs w:val="32"/>
          <w:highlight w:val="none"/>
          <w:lang w:val="en-US" w:eastAsia="zh-CN"/>
        </w:rPr>
        <w:t>运营管理模式：</w:t>
      </w:r>
    </w:p>
    <w:p w14:paraId="723FD23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（一）对于公用充电基础设施，应当由充电基础设施建设运营企业经营管理，并提供充电基础设施维修保养及其他配套服务。</w:t>
      </w:r>
    </w:p>
    <w:p w14:paraId="256E94E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（二）鼓励业主、物业服务企业、公共机构等单位与充电基础设施建设运营企业合作，建设自用、专用、公用充电基础设施，形成优势互补、收益共享的合作模式。</w:t>
      </w:r>
    </w:p>
    <w:p w14:paraId="396C874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鼓励各类投资者将充电基础设施委托给充电基础设施建设运营企业统一管理。未委托充电基础设施建设运营企业统一管理的充电基础设施，投资者可与所在物业服务企业通过签订服务协议等方式明确双方责任、权利和利益，保障充电基础设施安全、规范运行。</w:t>
      </w:r>
    </w:p>
    <w:p w14:paraId="276947E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依据广东省发展改革委关于电动汽车充电基础设施建设运营的管理办法（粤发改能电〔2016〕691号）第十二条条款。</w:t>
      </w:r>
    </w:p>
    <w:p w14:paraId="42F93870">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highlight w:val="none"/>
          <w:lang w:val="en-US" w:eastAsia="zh-CN" w:bidi="ar"/>
        </w:rPr>
      </w:pPr>
    </w:p>
    <w:p w14:paraId="7F32B527">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第五章 安全主体职责</w:t>
      </w:r>
    </w:p>
    <w:p w14:paraId="28639E7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第二十五条【安全主体职责】</w:t>
      </w:r>
      <w:r>
        <w:rPr>
          <w:rFonts w:hint="eastAsia" w:ascii="仿宋_GB2312" w:hAnsi="仿宋_GB2312" w:eastAsia="仿宋_GB2312" w:cs="仿宋_GB2312"/>
          <w:color w:val="auto"/>
          <w:kern w:val="0"/>
          <w:sz w:val="32"/>
          <w:szCs w:val="32"/>
          <w:highlight w:val="none"/>
          <w:lang w:val="en-US" w:eastAsia="zh-CN" w:bidi="ar"/>
        </w:rPr>
        <w:t xml:space="preserve">  按照“谁投资、谁收益、谁负责”原则，充电基础设施各方主体履行安全生产主体责任，做到“安全自查、隐患自除、责任自负”。</w:t>
      </w:r>
    </w:p>
    <w:p w14:paraId="41ABE044">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依据江门市电动汽车充电基础设施安全管理办法（征求意见稿）第四条。</w:t>
      </w:r>
    </w:p>
    <w:p w14:paraId="4421B9B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第二十六条【检定要求】</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验收通过后，需向法定计量技术机构申请强制检定，切实维护好电动汽车充电市场计量秩序。公用、专用充电基础设施必须完成第三方验收及强制检定后方可投入运营和使用。此前已经投入的，应专门部署开展补充验收和强制检定。</w:t>
      </w:r>
    </w:p>
    <w:p w14:paraId="07257A1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依据江门市电动汽车充电基础设施安全管理办法（征求意见稿）第五条。</w:t>
      </w:r>
    </w:p>
    <w:p w14:paraId="5BD21B38">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第二十七条【自用设施建设流程】</w:t>
      </w:r>
      <w:r>
        <w:rPr>
          <w:rFonts w:hint="eastAsia" w:ascii="仿宋_GB2312" w:hAnsi="仿宋_GB2312" w:eastAsia="仿宋_GB2312" w:cs="仿宋_GB2312"/>
          <w:color w:val="auto"/>
          <w:kern w:val="0"/>
          <w:sz w:val="32"/>
          <w:szCs w:val="32"/>
          <w:highlight w:val="none"/>
          <w:lang w:val="en-US" w:eastAsia="zh-CN" w:bidi="ar"/>
        </w:rPr>
        <w:t xml:space="preserve">  对于用户需安装自用充电基础设施的，以充电基础设施线路接入公用电网的连接点为投资分界点，按产权归属确定供用双方建设运维范围，由开平供电局会同用户或委托的电动汽车销售企业、充电基础设施所在场地管理方到现场进行用电、施工可行性勘察，确定项目是否具备建设条件后方可施工，充电基础设施所在场地管理方应当予以支持和配合。充电基础设施建设完工后，其所有权人须开展验收工作，确保工程符合有关国家、行业和地方竣工标准，并保留竣工验收资料备查。</w:t>
      </w:r>
    </w:p>
    <w:p w14:paraId="74AC368C">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依据江门市电动汽车充电基础设施安全管理办法（征求意见稿）第六条。</w:t>
      </w:r>
    </w:p>
    <w:p w14:paraId="264ACADD">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第二十八条【地下车库快充布置】</w:t>
      </w:r>
      <w:r>
        <w:rPr>
          <w:rFonts w:hint="eastAsia" w:ascii="仿宋_GB2312" w:hAnsi="仿宋_GB2312" w:eastAsia="仿宋_GB2312" w:cs="仿宋_GB2312"/>
          <w:color w:val="auto"/>
          <w:kern w:val="0"/>
          <w:sz w:val="32"/>
          <w:szCs w:val="32"/>
          <w:highlight w:val="none"/>
          <w:lang w:val="en-US" w:eastAsia="zh-CN" w:bidi="ar"/>
        </w:rPr>
        <w:t xml:space="preserve">  公共建筑配建的地下汽车库如需设置快充设施，应在同一防火单元内集中区域布置，其他要求须按有关国家、行业和地方标准执行。</w:t>
      </w:r>
    </w:p>
    <w:p w14:paraId="0B4C4B2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依据江门市电动汽车充电基础设施安全管理办法（征求意见稿）第九条。</w:t>
      </w:r>
    </w:p>
    <w:p w14:paraId="13458C3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第二十九条【安全制度保障】</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建设运营企业须按照现行国家、行业和地方标准，建立健全安全管理制度及安全生产规范，设置安全管理组织，配备专职安全员，明确运营各环节安全责任人。安全管理制度须包含流程监控、现场管理、隐患排查、应急处置、宣传培训等内容，并定期开展应急培训、演练及评估整改。</w:t>
      </w:r>
    </w:p>
    <w:p w14:paraId="0DEF6227">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依据江门市电动汽车充电基础设施安全管理办法（征求意见稿）第十条。</w:t>
      </w:r>
    </w:p>
    <w:p w14:paraId="40309BAB">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第三十条【人员培训与考核】</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建设运营企业须对管理人员和作业人员进行安全生产教育和岗位技能培训，使其掌握充电安全知识、用电安全规范、应急处理办法等，并对相关人员进行考核，合格后方可上岗。特种作业人员必须经专门的安全技术培训并考核合格，取得《中华人民共和国特种作业操作证》后，方可持证上岗作业。</w:t>
      </w:r>
    </w:p>
    <w:p w14:paraId="1B8E986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依据江门市电动汽车充电基础设施安全管理办法（征求意见稿）第十二条。</w:t>
      </w:r>
    </w:p>
    <w:p w14:paraId="4C616A03">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第三十一条【日常安全维护】</w:t>
      </w:r>
      <w:r>
        <w:rPr>
          <w:rFonts w:hint="eastAsia" w:ascii="仿宋_GB2312" w:hAnsi="仿宋_GB2312" w:eastAsia="仿宋_GB2312" w:cs="仿宋_GB2312"/>
          <w:color w:val="auto"/>
          <w:kern w:val="0"/>
          <w:sz w:val="32"/>
          <w:szCs w:val="32"/>
          <w:highlight w:val="none"/>
          <w:lang w:val="en-US" w:eastAsia="zh-CN" w:bidi="ar"/>
        </w:rPr>
        <w:t xml:space="preserve">  充电基础设施产权人、产权单位及运营企业须做好充电基础设施的日常安全维护工作；加强充电车辆管理，充电期间严禁车内乘坐人员；确保配电、充电、监控、消防、防雷等设备完好无损；确保充电基础设施处于正常运行状态；须配合做好场所安全提醒。</w:t>
      </w:r>
    </w:p>
    <w:p w14:paraId="6783A634">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依据江门市电动汽车充电基础设施安全管理办法（征求意见稿）第十三条。</w:t>
      </w:r>
    </w:p>
    <w:p w14:paraId="200C2A9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第三十二条【场地管理方职责】</w:t>
      </w:r>
      <w:r>
        <w:rPr>
          <w:rFonts w:hint="eastAsia" w:ascii="仿宋_GB2312" w:hAnsi="仿宋_GB2312" w:eastAsia="仿宋_GB2312" w:cs="仿宋_GB2312"/>
          <w:color w:val="auto"/>
          <w:kern w:val="0"/>
          <w:sz w:val="32"/>
          <w:szCs w:val="32"/>
          <w:highlight w:val="none"/>
          <w:lang w:val="en-US" w:eastAsia="zh-CN" w:bidi="ar"/>
        </w:rPr>
        <w:t xml:space="preserve">  充电基础设施所在场地管理方应按照物业服务合同或协议约定做好管理区域内充电基础设施的安全管理工作，对充电基础设施所在场地开展日常巡视工作中，如发现安全隐患问题的，须及时告知充电基础设施产权单位及运营企业，并督促其及时消除隐患；遇紧急情况时，须立即采取关闭电源、消防应急等措施。</w:t>
      </w:r>
    </w:p>
    <w:p w14:paraId="2451B4B8">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依据江门市电动汽车充电基础设施安全管理办法（征求意见稿）第十四条。</w:t>
      </w:r>
    </w:p>
    <w:p w14:paraId="46BC7EB5">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第三十三条【监控系统要求】</w:t>
      </w:r>
      <w:r>
        <w:rPr>
          <w:rFonts w:hint="eastAsia" w:ascii="仿宋_GB2312" w:hAnsi="仿宋_GB2312" w:eastAsia="仿宋_GB2312" w:cs="仿宋_GB2312"/>
          <w:color w:val="auto"/>
          <w:kern w:val="0"/>
          <w:sz w:val="32"/>
          <w:szCs w:val="32"/>
          <w:highlight w:val="none"/>
          <w:lang w:val="en-US" w:eastAsia="zh-CN" w:bidi="ar"/>
        </w:rPr>
        <w:t xml:space="preserve">  建议公用、专用充电基础设施产权单位及运营企业建立完整的充电监控及视频安防监控系统，其中充电监控系统须实现对充电基础设施运行和充电过程的监控，同时充电监控系统须具备数据存储、管理功能。在检测到危害充电安全的异常情况（如绝缘监测异常、电池温度过高、电压过高、电流过大等情况）时须进行告警，公用、专用充电基础设施建设或运营企业须及时对充电设备进行断电和巡检现场，在消除异常后方可重新启用。</w:t>
      </w:r>
    </w:p>
    <w:p w14:paraId="0F111B05">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依据江门市电动汽车充电基础设施安全管理办法（征求意见稿）第十五条。</w:t>
      </w:r>
    </w:p>
    <w:p w14:paraId="0073299F">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第三十四条【自用充电设施消防要求】</w:t>
      </w:r>
      <w:r>
        <w:rPr>
          <w:rFonts w:hint="eastAsia" w:ascii="仿宋_GB2312" w:hAnsi="仿宋_GB2312" w:eastAsia="仿宋_GB2312" w:cs="仿宋_GB2312"/>
          <w:color w:val="auto"/>
          <w:kern w:val="0"/>
          <w:sz w:val="32"/>
          <w:szCs w:val="32"/>
          <w:highlight w:val="none"/>
          <w:lang w:val="en-US" w:eastAsia="zh-CN" w:bidi="ar"/>
        </w:rPr>
        <w:t xml:space="preserve">  新建汽车库内配建的分散自用充电基础设施，充电基础设施产权及施工运营单位应按《电动汽车分散充电基础设施工程技术标准》（</w:t>
      </w:r>
      <w:r>
        <w:rPr>
          <w:rFonts w:hint="eastAsia" w:ascii="Times New Roman" w:hAnsi="Times New Roman" w:eastAsia="仿宋_GB2312" w:cs="仿宋_GB2312"/>
          <w:color w:val="auto"/>
          <w:kern w:val="0"/>
          <w:sz w:val="32"/>
          <w:szCs w:val="32"/>
          <w:highlight w:val="none"/>
          <w:lang w:val="en-US" w:eastAsia="zh-CN" w:bidi="ar"/>
        </w:rPr>
        <w:t>GB</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T</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Times New Roman" w:hAnsi="Times New Roman" w:eastAsia="仿宋_GB2312" w:cs="仿宋_GB2312"/>
          <w:color w:val="auto"/>
          <w:kern w:val="0"/>
          <w:sz w:val="32"/>
          <w:szCs w:val="32"/>
          <w:highlight w:val="none"/>
          <w:lang w:val="en-US" w:eastAsia="zh-CN" w:bidi="ar"/>
        </w:rPr>
        <w:t>51313</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2018</w:t>
      </w:r>
      <w:r>
        <w:rPr>
          <w:rFonts w:hint="eastAsia" w:ascii="仿宋_GB2312" w:hAnsi="仿宋_GB2312" w:eastAsia="仿宋_GB2312" w:cs="仿宋_GB2312"/>
          <w:color w:val="auto"/>
          <w:kern w:val="0"/>
          <w:sz w:val="32"/>
          <w:szCs w:val="32"/>
          <w:highlight w:val="none"/>
          <w:lang w:val="en-US" w:eastAsia="zh-CN" w:bidi="ar"/>
        </w:rPr>
        <w:t>）有关要求设置独立的防火单元，设置火灾自动报警系统、排烟设施、自动喷水灭火系统、消防应急照明和疏散指示标志。</w:t>
      </w:r>
    </w:p>
    <w:p w14:paraId="009239B6">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依据江门市电动汽车充电基础设施安全管理办法（征求意见稿）第十六条。</w:t>
      </w:r>
    </w:p>
    <w:p w14:paraId="31A91303">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第三十五条【公用、专用充电设施消防要求】</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产权及施工运营单位应按照现行国家、行业和地方标准要求，设置相应的消火栓系统，配足配齐消防软管卷盘、灭火器或自动喷水泡沫混合灭火系统、火灾自动报警系统（包括电气火灾监控系统）、电气火灾限流保护器或灭弧装置、排烟设施等基础性消防设施、器材。</w:t>
      </w:r>
    </w:p>
    <w:p w14:paraId="3DC33AD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依据江门市电动汽车充电基础设施安全管理办法（征求意见稿）第十七条。</w:t>
      </w:r>
    </w:p>
    <w:p w14:paraId="75A16FA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4C371607">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第六章 监督管理</w:t>
      </w:r>
    </w:p>
    <w:p w14:paraId="33B4DA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napToGrid w:val="0"/>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第三十六条【属地网络化管理】</w:t>
      </w:r>
      <w:r>
        <w:rPr>
          <w:rFonts w:hint="eastAsia" w:ascii="仿宋_GB2312" w:hAnsi="仿宋_GB2312" w:eastAsia="仿宋_GB2312" w:cs="仿宋_GB2312"/>
          <w:color w:val="auto"/>
          <w:kern w:val="0"/>
          <w:sz w:val="32"/>
          <w:szCs w:val="32"/>
          <w:highlight w:val="none"/>
          <w:lang w:val="en-US" w:eastAsia="zh-CN" w:bidi="ar"/>
        </w:rPr>
        <w:t xml:space="preserve">  镇人民政府、街道办事处、翠山湖管委会、村（居）委会将充电基础设施安全管理纳入属地网格化管理范围，并落实属地相关部门管理责任。</w:t>
      </w:r>
      <w:r>
        <w:rPr>
          <w:rFonts w:hint="eastAsia" w:ascii="仿宋_GB2312" w:hAnsi="仿宋_GB2312" w:eastAsia="仿宋_GB2312" w:cs="仿宋_GB2312"/>
          <w:b w:val="0"/>
          <w:bCs/>
          <w:snapToGrid w:val="0"/>
          <w:color w:val="auto"/>
          <w:kern w:val="0"/>
          <w:sz w:val="32"/>
          <w:szCs w:val="32"/>
          <w:highlight w:val="none"/>
          <w:lang w:val="en-US" w:eastAsia="zh-CN"/>
        </w:rPr>
        <w:t>结合本地电动汽车保有量和分布情况，评估论证群众充电客观需求和城乡规划建设进度，区分“公建配套、单位自用、业主自用”，制定完成本地电动汽车充电基础设施建设实施方案，积极推进既有</w:t>
      </w:r>
      <w:r>
        <w:rPr>
          <w:rFonts w:hint="eastAsia" w:ascii="仿宋_GB2312" w:hAnsi="仿宋_GB2312" w:eastAsia="仿宋_GB2312" w:cs="仿宋_GB2312"/>
          <w:color w:val="auto"/>
          <w:kern w:val="0"/>
          <w:sz w:val="32"/>
          <w:szCs w:val="32"/>
          <w:highlight w:val="none"/>
          <w:lang w:val="en-US" w:eastAsia="zh-CN" w:bidi="ar"/>
        </w:rPr>
        <w:t>居住区</w:t>
      </w:r>
      <w:r>
        <w:rPr>
          <w:rFonts w:hint="eastAsia" w:ascii="仿宋_GB2312" w:hAnsi="仿宋_GB2312" w:eastAsia="仿宋_GB2312" w:cs="仿宋_GB2312"/>
          <w:b w:val="0"/>
          <w:bCs/>
          <w:snapToGrid w:val="0"/>
          <w:color w:val="auto"/>
          <w:kern w:val="0"/>
          <w:sz w:val="32"/>
          <w:szCs w:val="32"/>
          <w:highlight w:val="none"/>
          <w:lang w:val="en-US" w:eastAsia="zh-CN"/>
        </w:rPr>
        <w:t>增设电动汽车充电基础设施建设。</w:t>
      </w:r>
    </w:p>
    <w:p w14:paraId="70B4FCF9">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依据江门市电动汽车充电基础设施安全管理办法（征求意见稿）第十九条。</w:t>
      </w:r>
    </w:p>
    <w:p w14:paraId="74F68669">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第三十七条【监督管理分工】</w:t>
      </w:r>
      <w:r>
        <w:rPr>
          <w:rFonts w:hint="eastAsia" w:ascii="仿宋_GB2312" w:hAnsi="仿宋_GB2312" w:eastAsia="仿宋_GB2312" w:cs="仿宋_GB2312"/>
          <w:color w:val="auto"/>
          <w:kern w:val="0"/>
          <w:sz w:val="32"/>
          <w:szCs w:val="32"/>
          <w:highlight w:val="none"/>
          <w:lang w:val="en-US" w:eastAsia="zh-CN" w:bidi="ar"/>
        </w:rPr>
        <w:t xml:space="preserve">  属地人民政府及各部门对各类充电基础设施的监督管理分工如下：</w:t>
      </w:r>
    </w:p>
    <w:p w14:paraId="5495551E">
      <w:pPr>
        <w:keepNext w:val="0"/>
        <w:keepLines w:val="0"/>
        <w:pageBreakBefore w:val="0"/>
        <w:widowControl w:val="0"/>
        <w:numPr>
          <w:ilvl w:val="0"/>
          <w:numId w:val="0"/>
        </w:numPr>
        <w:suppressLineNumbers w:val="0"/>
        <w:kinsoku/>
        <w:wordWrap/>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snapToGrid w:val="0"/>
          <w:color w:val="auto"/>
          <w:kern w:val="0"/>
          <w:sz w:val="32"/>
          <w:szCs w:val="32"/>
          <w:highlight w:val="none"/>
          <w:lang w:val="en-US" w:eastAsia="zh-CN"/>
        </w:rPr>
        <w:t>各镇人民政府（街道办事处）、翠山湖管委会：结合辖区电动汽车保有量和分布情况，评估论证群众充电客观需求和城乡规划建设进度，区分“公建配套、单位自用、业主自用”，制定完成本地电动汽车充电基础设施建设实施方案，积极推进既有</w:t>
      </w:r>
      <w:r>
        <w:rPr>
          <w:rFonts w:hint="eastAsia" w:ascii="仿宋_GB2312" w:hAnsi="仿宋_GB2312" w:eastAsia="仿宋_GB2312" w:cs="仿宋_GB2312"/>
          <w:color w:val="auto"/>
          <w:kern w:val="0"/>
          <w:sz w:val="32"/>
          <w:szCs w:val="32"/>
          <w:highlight w:val="none"/>
          <w:lang w:val="en-US" w:eastAsia="zh-CN" w:bidi="ar"/>
        </w:rPr>
        <w:t>居住区</w:t>
      </w:r>
      <w:r>
        <w:rPr>
          <w:rFonts w:hint="eastAsia" w:ascii="仿宋_GB2312" w:hAnsi="仿宋_GB2312" w:eastAsia="仿宋_GB2312" w:cs="仿宋_GB2312"/>
          <w:b w:val="0"/>
          <w:bCs/>
          <w:snapToGrid w:val="0"/>
          <w:color w:val="auto"/>
          <w:kern w:val="0"/>
          <w:sz w:val="32"/>
          <w:szCs w:val="32"/>
          <w:highlight w:val="none"/>
          <w:lang w:val="en-US" w:eastAsia="zh-CN"/>
        </w:rPr>
        <w:t>增设电动汽车充电基础设施建设。</w:t>
      </w:r>
    </w:p>
    <w:p w14:paraId="2D25F47F">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发展改革局：负责指导监督电动汽车充电基础设施安全监管；根据职责对公用、专用电动汽车充电基础设施经营、使用的安全状况进行监督检查。不定期组织或邀请专家对全市公用、专用充电基础设施进行安全抽查。就检查结果中发现的安全隐患问题督促充电基础设施安全责任主体限期整改。</w:t>
      </w:r>
    </w:p>
    <w:p w14:paraId="1FFE498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应急管理局：负责指导全市电动汽车充电基础行业主管部门开展涉安全生产类、自然灾害类突发事件应急救援；依法组织、指导、参与涉电动汽车充电基础设施生产安全事故调查处理，监督事故查处和责任追究落实情况。</w:t>
      </w:r>
    </w:p>
    <w:p w14:paraId="3A75C2C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市公安局：负责依法查处破坏电动汽车充电基础设施违法犯罪行为。</w:t>
      </w:r>
    </w:p>
    <w:p w14:paraId="25E29F4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市自然资源局：</w:t>
      </w:r>
      <w:r>
        <w:rPr>
          <w:rFonts w:ascii="Times New Roman" w:hAnsi="Times New Roman" w:eastAsia="仿宋_GB2312" w:cs="Times New Roman"/>
          <w:color w:val="auto"/>
          <w:sz w:val="32"/>
          <w:szCs w:val="32"/>
          <w:highlight w:val="none"/>
        </w:rPr>
        <w:t>负责落实</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的用地政策，在规划审批等方面建立简化的程序；负责新建住宅配建停车位、公共建筑物配建停车场、社会公共停车场等建设</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或预留安装条件的规划审批，以及</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用地的统筹协调工作；负责将</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专项规划主要内容纳入控制性详细规划，会同</w:t>
      </w:r>
      <w:r>
        <w:rPr>
          <w:rFonts w:hint="eastAsia" w:ascii="Times New Roman" w:hAnsi="Times New Roman" w:eastAsia="仿宋_GB2312" w:cs="Times New Roman"/>
          <w:color w:val="auto"/>
          <w:sz w:val="32"/>
          <w:szCs w:val="32"/>
          <w:highlight w:val="none"/>
          <w:lang w:val="en-US" w:eastAsia="zh-CN"/>
        </w:rPr>
        <w:t>有关部门</w:t>
      </w:r>
      <w:r>
        <w:rPr>
          <w:rFonts w:ascii="Times New Roman" w:hAnsi="Times New Roman" w:eastAsia="仿宋_GB2312" w:cs="Times New Roman"/>
          <w:color w:val="auto"/>
          <w:sz w:val="32"/>
          <w:szCs w:val="32"/>
          <w:highlight w:val="none"/>
        </w:rPr>
        <w:t>做好</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的选址工作。</w:t>
      </w:r>
    </w:p>
    <w:p w14:paraId="0D89C16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市住房城乡建设局：督促物业服务企业协助属</w:t>
      </w:r>
      <w:r>
        <w:rPr>
          <w:rFonts w:hint="eastAsia" w:ascii="仿宋_GB2312" w:hAnsi="仿宋_GB2312" w:eastAsia="仿宋_GB2312" w:cs="仿宋_GB2312"/>
          <w:b w:val="0"/>
          <w:bCs/>
          <w:snapToGrid w:val="0"/>
          <w:color w:val="auto"/>
          <w:kern w:val="0"/>
          <w:sz w:val="32"/>
          <w:szCs w:val="32"/>
          <w:highlight w:val="none"/>
          <w:lang w:val="en-US" w:eastAsia="zh-CN"/>
        </w:rPr>
        <w:t>地乡镇（街道）、管委会推进既有居住区增设电动汽车充电基础设施建设，在居民住宅小区增设停放充电基础设施按照设备管理办理相关手续，并须满足必要的安全条件；负责对随房屋市政工程建设的充电基础设施进行消防设计确认；</w:t>
      </w:r>
      <w:r>
        <w:rPr>
          <w:rFonts w:ascii="Times New Roman" w:hAnsi="Times New Roman" w:eastAsia="仿宋_GB2312" w:cs="Times New Roman"/>
          <w:color w:val="auto"/>
          <w:sz w:val="32"/>
          <w:szCs w:val="32"/>
          <w:highlight w:val="none"/>
        </w:rPr>
        <w:t>负责指导和监督物业服务企业配合居民自用</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建设安装工作。</w:t>
      </w:r>
    </w:p>
    <w:p w14:paraId="7D488C9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市交通运输局：</w:t>
      </w:r>
      <w:r>
        <w:rPr>
          <w:rFonts w:ascii="Times New Roman" w:hAnsi="Times New Roman" w:eastAsia="仿宋_GB2312" w:cs="Times New Roman"/>
          <w:color w:val="auto"/>
          <w:sz w:val="32"/>
          <w:szCs w:val="32"/>
          <w:highlight w:val="none"/>
        </w:rPr>
        <w:t>负责协调公交场站推进公交、出租等领域的专用</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建设；负责指导公路沿线</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建设，逐步提高充电停车位比例和充电服务场地保障能力。</w:t>
      </w:r>
      <w:r>
        <w:rPr>
          <w:rFonts w:hint="eastAsia" w:ascii="仿宋_GB2312" w:hAnsi="仿宋_GB2312" w:eastAsia="仿宋_GB2312" w:cs="仿宋_GB2312"/>
          <w:color w:val="auto"/>
          <w:kern w:val="0"/>
          <w:sz w:val="32"/>
          <w:szCs w:val="32"/>
          <w:highlight w:val="none"/>
          <w:lang w:val="en-US" w:eastAsia="zh-CN" w:bidi="ar"/>
        </w:rPr>
        <w:t>负责督促交通场站的业主和经营单位做好本场所内所建充电基础设施的安全管理工作。</w:t>
      </w:r>
    </w:p>
    <w:p w14:paraId="644D511D">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市城市管理综合执法局：负责督促指导利用城区内公共区域设置的经营性充电基础设施运营单位的安全管理工作。</w:t>
      </w:r>
    </w:p>
    <w:p w14:paraId="7D99918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市消防救援大队：</w:t>
      </w:r>
      <w:r>
        <w:rPr>
          <w:rFonts w:ascii="Times New Roman" w:hAnsi="Times New Roman" w:eastAsia="仿宋_GB2312" w:cs="Times New Roman"/>
          <w:color w:val="auto"/>
          <w:sz w:val="32"/>
          <w:szCs w:val="32"/>
          <w:highlight w:val="none"/>
        </w:rPr>
        <w:t>负责指导各地做好</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消防安全管理，组织开展新能源汽车火灾事故的灭火救援和调查处理工作；负责对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私拉乱接、违规使用、不规范建设施工等造成消防隐患的行为进行依法监督查处。</w:t>
      </w:r>
    </w:p>
    <w:p w14:paraId="48F271F0">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市市场监督管理局：负责指导全市充电基础设施国家标准执行和计量监管工作，协调市级法定计量技术机构制定强检申报指引，并做好强检工作协助。</w:t>
      </w:r>
    </w:p>
    <w:p w14:paraId="1310D6A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市文化广电旅游体育局：负责督促旅游景区运行单位按照属地政府和相关主管部门的要求，加强对所属充电基础设施的安全管理工作。</w:t>
      </w:r>
    </w:p>
    <w:p w14:paraId="7ABE987B">
      <w:pPr>
        <w:keepNext w:val="0"/>
        <w:keepLines w:val="0"/>
        <w:pageBreakBefore w:val="0"/>
        <w:widowControl/>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开平供电局：</w:t>
      </w:r>
      <w:r>
        <w:rPr>
          <w:rFonts w:ascii="Times New Roman" w:hAnsi="Times New Roman" w:eastAsia="仿宋_GB2312" w:cs="Times New Roman"/>
          <w:color w:val="auto"/>
          <w:sz w:val="32"/>
          <w:szCs w:val="32"/>
          <w:highlight w:val="none"/>
        </w:rPr>
        <w:t>负责</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配套电网建设、改造和供电服务；积极推动新能源汽车有序充电，提高电网运行效率；为公路沿线和农村地区</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建设提供用电保障，提高</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的覆盖面；严格</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接电环节审批，对未经允许的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不予接入电网；制定</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报装业务办理指南，优化电力报装流程，为</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建设接入提供绿色通道；负责建设和运营维护</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产权分界点至电网的配套接网工程。</w:t>
      </w:r>
      <w:r>
        <w:rPr>
          <w:rFonts w:hint="eastAsia" w:ascii="仿宋_GB2312" w:hAnsi="仿宋_GB2312" w:eastAsia="仿宋_GB2312" w:cs="仿宋_GB2312"/>
          <w:color w:val="auto"/>
          <w:kern w:val="0"/>
          <w:sz w:val="32"/>
          <w:szCs w:val="32"/>
          <w:highlight w:val="none"/>
          <w:lang w:val="en-US" w:eastAsia="zh-CN" w:bidi="ar"/>
        </w:rPr>
        <w:t>负责充电基础设施相关电力基础网络建设与改造、充电基础设施增容服务、电力保障等技术支持工作。</w:t>
      </w:r>
    </w:p>
    <w:p w14:paraId="65C28C5D">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依据江门市电动汽车充电基础设施安全管理办法（征求意见稿）第二十条。</w:t>
      </w:r>
    </w:p>
    <w:p w14:paraId="0EA0EB55">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第七章 追责处置机制</w:t>
      </w:r>
    </w:p>
    <w:p w14:paraId="0EE5EDE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第三十八条【安全违规处理】</w:t>
      </w:r>
      <w:r>
        <w:rPr>
          <w:rFonts w:hint="eastAsia" w:ascii="仿宋_GB2312" w:hAnsi="仿宋_GB2312" w:eastAsia="仿宋_GB2312" w:cs="仿宋_GB2312"/>
          <w:color w:val="auto"/>
          <w:kern w:val="0"/>
          <w:sz w:val="32"/>
          <w:szCs w:val="32"/>
          <w:highlight w:val="none"/>
          <w:lang w:val="en-US" w:eastAsia="zh-CN" w:bidi="ar"/>
        </w:rPr>
        <w:t xml:space="preserve">  对未能正确履行本办法安全工作职责的公用、专用充电基础设施产权、建设或运营企业，由市应急管理局、消防救援大队和所在镇（街）人民政府依照《中华人民共和国安全生产法》等规定依法依规处理。</w:t>
      </w:r>
    </w:p>
    <w:p w14:paraId="2896CABF">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依据江门市电动汽车充电基础设施安全管理办法（征求意见稿）第二十四条。</w:t>
      </w:r>
    </w:p>
    <w:p w14:paraId="63F558C9">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第三十九条【违规处理】</w:t>
      </w:r>
      <w:r>
        <w:rPr>
          <w:rFonts w:hint="eastAsia" w:ascii="仿宋_GB2312" w:hAnsi="仿宋_GB2312" w:eastAsia="仿宋_GB2312" w:cs="仿宋_GB2312"/>
          <w:color w:val="auto"/>
          <w:kern w:val="0"/>
          <w:sz w:val="32"/>
          <w:szCs w:val="32"/>
          <w:highlight w:val="none"/>
          <w:lang w:val="en-US" w:eastAsia="zh-CN" w:bidi="ar"/>
        </w:rPr>
        <w:t xml:space="preserve">  违反本办法的，涉及公安、自然资源、生态环境、住房城乡建设、市场监管等有关规定的，由相关行政主管部门依法处理。</w:t>
      </w:r>
    </w:p>
    <w:p w14:paraId="11D7FA5F">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w:t>
      </w:r>
      <w:r>
        <w:rPr>
          <w:rFonts w:hint="default" w:ascii="Times New Roman" w:hAnsi="Times New Roman" w:eastAsia="楷体_GB2312" w:cs="Times New Roman"/>
          <w:b w:val="0"/>
          <w:bCs w:val="0"/>
          <w:i w:val="0"/>
          <w:iCs w:val="0"/>
          <w:caps w:val="0"/>
          <w:color w:val="auto"/>
          <w:spacing w:val="0"/>
          <w:kern w:val="0"/>
          <w:sz w:val="32"/>
          <w:szCs w:val="32"/>
          <w:highlight w:val="none"/>
          <w:shd w:val="clear" w:fill="auto"/>
          <w:lang w:bidi="ar"/>
        </w:rPr>
        <w:t>焦作市汽车加氢站建设审批管理暂行办法</w:t>
      </w:r>
      <w:r>
        <w:rPr>
          <w:rFonts w:hint="default" w:ascii="Times New Roman" w:hAnsi="Times New Roman" w:eastAsia="楷体_GB2312" w:cs="Times New Roman"/>
          <w:i w:val="0"/>
          <w:iCs w:val="0"/>
          <w:caps w:val="0"/>
          <w:color w:val="auto"/>
          <w:spacing w:val="0"/>
          <w:kern w:val="0"/>
          <w:sz w:val="32"/>
          <w:szCs w:val="32"/>
          <w:highlight w:val="none"/>
          <w:shd w:val="clear" w:fill="auto"/>
          <w:lang w:bidi="ar"/>
        </w:rPr>
        <w:t>第十六条</w:t>
      </w:r>
    </w:p>
    <w:p w14:paraId="40DF78F5">
      <w:pPr>
        <w:keepNext w:val="0"/>
        <w:keepLines w:val="0"/>
        <w:pageBreakBefore w:val="0"/>
        <w:widowControl/>
        <w:numPr>
          <w:ilvl w:val="0"/>
          <w:numId w:val="0"/>
        </w:numPr>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p>
    <w:p w14:paraId="5CA90AA3">
      <w:pPr>
        <w:keepNext w:val="0"/>
        <w:keepLines w:val="0"/>
        <w:pageBreakBefore w:val="0"/>
        <w:widowControl/>
        <w:numPr>
          <w:ilvl w:val="0"/>
          <w:numId w:val="0"/>
        </w:numPr>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第八章 附 则</w:t>
      </w:r>
    </w:p>
    <w:p w14:paraId="6DFDD9D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第四十条</w:t>
      </w:r>
      <w:r>
        <w:rPr>
          <w:rFonts w:hint="eastAsia" w:ascii="仿宋_GB2312" w:hAnsi="仿宋_GB2312" w:eastAsia="仿宋_GB2312" w:cs="仿宋_GB2312"/>
          <w:color w:val="auto"/>
          <w:kern w:val="0"/>
          <w:sz w:val="32"/>
          <w:szCs w:val="32"/>
          <w:highlight w:val="none"/>
          <w:lang w:val="en-US" w:eastAsia="zh-CN" w:bidi="ar"/>
        </w:rPr>
        <w:t xml:space="preserve">  本办法由开平市发展和改革局负责解释。</w:t>
      </w:r>
    </w:p>
    <w:p w14:paraId="53C3FF8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第四十一条</w:t>
      </w:r>
      <w:r>
        <w:rPr>
          <w:rFonts w:hint="eastAsia" w:ascii="仿宋_GB2312" w:hAnsi="仿宋_GB2312" w:eastAsia="仿宋_GB2312" w:cs="仿宋_GB2312"/>
          <w:color w:val="auto"/>
          <w:kern w:val="0"/>
          <w:sz w:val="32"/>
          <w:szCs w:val="32"/>
          <w:highlight w:val="none"/>
          <w:lang w:val="en-US" w:eastAsia="zh-CN" w:bidi="ar"/>
        </w:rPr>
        <w:t xml:space="preserve">  本办法自印发之日起实施，有效期三年，国家、省、江门作出新的规定的，从其规定。</w:t>
      </w:r>
    </w:p>
    <w:p w14:paraId="73B788B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
        </w:rPr>
      </w:pPr>
    </w:p>
    <w:p w14:paraId="09AFCDF9">
      <w:pPr>
        <w:keepNext w:val="0"/>
        <w:keepLines w:val="0"/>
        <w:pageBreakBefore w:val="0"/>
        <w:widowControl/>
        <w:suppressLineNumbers w:val="0"/>
        <w:kinsoku/>
        <w:wordWrap/>
        <w:topLinePunct w:val="0"/>
        <w:autoSpaceDE/>
        <w:autoSpaceDN/>
        <w:bidi w:val="0"/>
        <w:spacing w:line="560" w:lineRule="exact"/>
        <w:ind w:firstLine="1920" w:firstLineChars="600"/>
        <w:jc w:val="left"/>
        <w:textAlignment w:val="auto"/>
        <w:rPr>
          <w:rFonts w:hint="eastAsia"/>
          <w:color w:val="auto"/>
          <w:sz w:val="32"/>
          <w:szCs w:val="32"/>
          <w:highlight w:val="none"/>
          <w:lang w:val="en-US" w:eastAsia="zh-CN"/>
        </w:rPr>
      </w:pPr>
    </w:p>
    <w:sectPr>
      <w:footerReference r:id="rId4" w:type="first"/>
      <w:footerReference r:id="rId3" w:type="default"/>
      <w:pgSz w:w="11906" w:h="16838"/>
      <w:pgMar w:top="1871" w:right="1531" w:bottom="1871"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83E558-F490-4CBF-9E97-8D797190B0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E0701FD-A478-4B7F-A8FC-AF5C771285BD}"/>
  </w:font>
  <w:font w:name="方正小标宋简体">
    <w:panose1 w:val="03000509000000000000"/>
    <w:charset w:val="86"/>
    <w:family w:val="auto"/>
    <w:pitch w:val="default"/>
    <w:sig w:usb0="00000001" w:usb1="080E0000" w:usb2="00000000" w:usb3="00000000" w:csb0="00040000" w:csb1="00000000"/>
    <w:embedRegular r:id="rId3" w:fontKey="{1597C845-BD81-47F0-B65B-0957EBDFF71D}"/>
  </w:font>
  <w:font w:name="楷体_GB2312">
    <w:panose1 w:val="02010609030101010101"/>
    <w:charset w:val="86"/>
    <w:family w:val="auto"/>
    <w:pitch w:val="default"/>
    <w:sig w:usb0="00000001" w:usb1="080E0000" w:usb2="00000000" w:usb3="00000000" w:csb0="00040000" w:csb1="00000000"/>
    <w:embedRegular r:id="rId4" w:fontKey="{D993C664-3154-41A5-97E9-01D04F7EF3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46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CE41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CFCE41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F7E1">
    <w:pPr>
      <w:pStyle w:val="4"/>
      <w:jc w:val="right"/>
      <w:rPr>
        <w:rFonts w:hint="eastAsia" w:ascii="宋体" w:hAnsi="宋体" w:eastAsia="宋体" w:cs="宋体"/>
        <w:sz w:val="28"/>
        <w:szCs w:val="28"/>
      </w:rPr>
    </w:pPr>
  </w:p>
  <w:p w14:paraId="19041D05">
    <w:pPr>
      <w:pStyle w:val="4"/>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BB47A"/>
    <w:multiLevelType w:val="singleLevel"/>
    <w:tmpl w:val="7CCBB4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mRjZjUxODA0Mzk4NWMzZWI4ODY2ZThiYTA5YWQifQ=="/>
  </w:docVars>
  <w:rsids>
    <w:rsidRoot w:val="00000000"/>
    <w:rsid w:val="00993E19"/>
    <w:rsid w:val="00A10993"/>
    <w:rsid w:val="019A04BE"/>
    <w:rsid w:val="021C75EF"/>
    <w:rsid w:val="0221640D"/>
    <w:rsid w:val="02370DC0"/>
    <w:rsid w:val="0285638C"/>
    <w:rsid w:val="02E80AFB"/>
    <w:rsid w:val="031A4A2D"/>
    <w:rsid w:val="03830824"/>
    <w:rsid w:val="03CA0201"/>
    <w:rsid w:val="041E22FB"/>
    <w:rsid w:val="044674CF"/>
    <w:rsid w:val="045E0F03"/>
    <w:rsid w:val="04873D2F"/>
    <w:rsid w:val="051200B1"/>
    <w:rsid w:val="05295307"/>
    <w:rsid w:val="062736E9"/>
    <w:rsid w:val="069845E6"/>
    <w:rsid w:val="069D3DC3"/>
    <w:rsid w:val="076E4BA2"/>
    <w:rsid w:val="08046B78"/>
    <w:rsid w:val="08955B22"/>
    <w:rsid w:val="08BB749D"/>
    <w:rsid w:val="08EB4EA1"/>
    <w:rsid w:val="08F85B47"/>
    <w:rsid w:val="09532A47"/>
    <w:rsid w:val="0A0B1D7B"/>
    <w:rsid w:val="0A0F550E"/>
    <w:rsid w:val="0A20501F"/>
    <w:rsid w:val="0AA479FE"/>
    <w:rsid w:val="0AE0655C"/>
    <w:rsid w:val="0B4474F0"/>
    <w:rsid w:val="0BDA3B16"/>
    <w:rsid w:val="0C38350E"/>
    <w:rsid w:val="0C5615D1"/>
    <w:rsid w:val="0F1F58A5"/>
    <w:rsid w:val="10E051E1"/>
    <w:rsid w:val="10E65E86"/>
    <w:rsid w:val="1156394B"/>
    <w:rsid w:val="1217312E"/>
    <w:rsid w:val="126800C6"/>
    <w:rsid w:val="126A666E"/>
    <w:rsid w:val="127952CC"/>
    <w:rsid w:val="1367781A"/>
    <w:rsid w:val="14FC113E"/>
    <w:rsid w:val="1524415D"/>
    <w:rsid w:val="15512530"/>
    <w:rsid w:val="15E32F17"/>
    <w:rsid w:val="165E7579"/>
    <w:rsid w:val="16983D96"/>
    <w:rsid w:val="16F94C2D"/>
    <w:rsid w:val="177E5132"/>
    <w:rsid w:val="180D79FC"/>
    <w:rsid w:val="1850765B"/>
    <w:rsid w:val="190B5C64"/>
    <w:rsid w:val="19483C4A"/>
    <w:rsid w:val="19850CE0"/>
    <w:rsid w:val="1A78487C"/>
    <w:rsid w:val="1B3D2BB0"/>
    <w:rsid w:val="1C35495A"/>
    <w:rsid w:val="1D3D0765"/>
    <w:rsid w:val="1D7E5172"/>
    <w:rsid w:val="204B4136"/>
    <w:rsid w:val="20A40015"/>
    <w:rsid w:val="21913C1B"/>
    <w:rsid w:val="21974D98"/>
    <w:rsid w:val="22367CA9"/>
    <w:rsid w:val="2265761B"/>
    <w:rsid w:val="228307C3"/>
    <w:rsid w:val="22C50B3D"/>
    <w:rsid w:val="242429FC"/>
    <w:rsid w:val="243601AA"/>
    <w:rsid w:val="2553761F"/>
    <w:rsid w:val="26083FB3"/>
    <w:rsid w:val="26954B92"/>
    <w:rsid w:val="287F1A33"/>
    <w:rsid w:val="28A8632C"/>
    <w:rsid w:val="29BD6F38"/>
    <w:rsid w:val="2B231E21"/>
    <w:rsid w:val="2BB313F7"/>
    <w:rsid w:val="2BF37A45"/>
    <w:rsid w:val="2C364DCA"/>
    <w:rsid w:val="2C426B73"/>
    <w:rsid w:val="2C717FBF"/>
    <w:rsid w:val="2C7D37B3"/>
    <w:rsid w:val="2CC118F2"/>
    <w:rsid w:val="2CD446F2"/>
    <w:rsid w:val="2D101BED"/>
    <w:rsid w:val="2D5E1836"/>
    <w:rsid w:val="2E552B72"/>
    <w:rsid w:val="2F05640D"/>
    <w:rsid w:val="2F4573AA"/>
    <w:rsid w:val="2F566C69"/>
    <w:rsid w:val="2FC57C8E"/>
    <w:rsid w:val="2FD22068"/>
    <w:rsid w:val="2FEA5603"/>
    <w:rsid w:val="302A2F41"/>
    <w:rsid w:val="30CA5E03"/>
    <w:rsid w:val="31061FC9"/>
    <w:rsid w:val="317177E5"/>
    <w:rsid w:val="32DB1233"/>
    <w:rsid w:val="3385640A"/>
    <w:rsid w:val="33BC2E13"/>
    <w:rsid w:val="34932BE1"/>
    <w:rsid w:val="34946DA0"/>
    <w:rsid w:val="349A75F8"/>
    <w:rsid w:val="354A0127"/>
    <w:rsid w:val="35521E85"/>
    <w:rsid w:val="35562FBC"/>
    <w:rsid w:val="35A70118"/>
    <w:rsid w:val="36392922"/>
    <w:rsid w:val="38351788"/>
    <w:rsid w:val="3A2C0B35"/>
    <w:rsid w:val="3AFA0DF0"/>
    <w:rsid w:val="3E0E4BB3"/>
    <w:rsid w:val="3E2E0DB1"/>
    <w:rsid w:val="3EE55BE0"/>
    <w:rsid w:val="3EED39A0"/>
    <w:rsid w:val="3EEE07DB"/>
    <w:rsid w:val="3F725898"/>
    <w:rsid w:val="3F8B512B"/>
    <w:rsid w:val="3FDD2A8F"/>
    <w:rsid w:val="3FE12F9D"/>
    <w:rsid w:val="40360EA2"/>
    <w:rsid w:val="41564B68"/>
    <w:rsid w:val="41F766E1"/>
    <w:rsid w:val="42F46E8B"/>
    <w:rsid w:val="43413EC6"/>
    <w:rsid w:val="44726FDA"/>
    <w:rsid w:val="44D75CFE"/>
    <w:rsid w:val="458A481F"/>
    <w:rsid w:val="45EA4D1E"/>
    <w:rsid w:val="45F5717B"/>
    <w:rsid w:val="45F70270"/>
    <w:rsid w:val="46317EB5"/>
    <w:rsid w:val="46D83FB0"/>
    <w:rsid w:val="46F37207"/>
    <w:rsid w:val="47262F6D"/>
    <w:rsid w:val="475D72F2"/>
    <w:rsid w:val="487E5F4A"/>
    <w:rsid w:val="48997302"/>
    <w:rsid w:val="48F00361"/>
    <w:rsid w:val="496D4E83"/>
    <w:rsid w:val="498902F7"/>
    <w:rsid w:val="49EF5898"/>
    <w:rsid w:val="4AE82DA8"/>
    <w:rsid w:val="4B312678"/>
    <w:rsid w:val="4B402765"/>
    <w:rsid w:val="4B962DE9"/>
    <w:rsid w:val="4C0A4703"/>
    <w:rsid w:val="4C1E2465"/>
    <w:rsid w:val="4D081BBD"/>
    <w:rsid w:val="4E3E294A"/>
    <w:rsid w:val="4E604FB7"/>
    <w:rsid w:val="4E77033A"/>
    <w:rsid w:val="4E8E2555"/>
    <w:rsid w:val="4F4A3571"/>
    <w:rsid w:val="4F6E725F"/>
    <w:rsid w:val="4FA35CE3"/>
    <w:rsid w:val="4FFA6D45"/>
    <w:rsid w:val="50DD469C"/>
    <w:rsid w:val="52122873"/>
    <w:rsid w:val="52BA60F2"/>
    <w:rsid w:val="53C16351"/>
    <w:rsid w:val="53D17DBD"/>
    <w:rsid w:val="541C59C7"/>
    <w:rsid w:val="5475369C"/>
    <w:rsid w:val="54B441C0"/>
    <w:rsid w:val="555C0281"/>
    <w:rsid w:val="55C93D9E"/>
    <w:rsid w:val="572D5D14"/>
    <w:rsid w:val="58493D8A"/>
    <w:rsid w:val="586E6522"/>
    <w:rsid w:val="58B8779D"/>
    <w:rsid w:val="59075CA5"/>
    <w:rsid w:val="5A405C9C"/>
    <w:rsid w:val="5A5A6D5E"/>
    <w:rsid w:val="5AA224B3"/>
    <w:rsid w:val="5AC4067B"/>
    <w:rsid w:val="5B523188"/>
    <w:rsid w:val="5BB24978"/>
    <w:rsid w:val="5BC076C9"/>
    <w:rsid w:val="5BEC60DC"/>
    <w:rsid w:val="5C270EC2"/>
    <w:rsid w:val="5C2A1006"/>
    <w:rsid w:val="5C531F95"/>
    <w:rsid w:val="5C6739B4"/>
    <w:rsid w:val="5C9D2C9C"/>
    <w:rsid w:val="5CF3428F"/>
    <w:rsid w:val="5D596422"/>
    <w:rsid w:val="5D5A3336"/>
    <w:rsid w:val="5D96269B"/>
    <w:rsid w:val="5E17005F"/>
    <w:rsid w:val="5F166245"/>
    <w:rsid w:val="5F1A2E73"/>
    <w:rsid w:val="5FEA25DF"/>
    <w:rsid w:val="6008725C"/>
    <w:rsid w:val="602B518E"/>
    <w:rsid w:val="606326E4"/>
    <w:rsid w:val="6068238C"/>
    <w:rsid w:val="60874625"/>
    <w:rsid w:val="60C11049"/>
    <w:rsid w:val="61736957"/>
    <w:rsid w:val="62056952"/>
    <w:rsid w:val="620677CB"/>
    <w:rsid w:val="624D71A8"/>
    <w:rsid w:val="63310878"/>
    <w:rsid w:val="635D2054"/>
    <w:rsid w:val="63D00AEE"/>
    <w:rsid w:val="64215D7C"/>
    <w:rsid w:val="645A13F2"/>
    <w:rsid w:val="64AE5EF5"/>
    <w:rsid w:val="655138BC"/>
    <w:rsid w:val="65B517CD"/>
    <w:rsid w:val="65CD7543"/>
    <w:rsid w:val="65E47E23"/>
    <w:rsid w:val="66861974"/>
    <w:rsid w:val="66936188"/>
    <w:rsid w:val="690177B3"/>
    <w:rsid w:val="69164AED"/>
    <w:rsid w:val="696076BE"/>
    <w:rsid w:val="697B284D"/>
    <w:rsid w:val="69D467B8"/>
    <w:rsid w:val="6A2F6869"/>
    <w:rsid w:val="6A7C687C"/>
    <w:rsid w:val="6A9F699C"/>
    <w:rsid w:val="6ACE7A50"/>
    <w:rsid w:val="6B3409A0"/>
    <w:rsid w:val="6BC50EA9"/>
    <w:rsid w:val="6BE41646"/>
    <w:rsid w:val="6C2C51CB"/>
    <w:rsid w:val="6C5A0E3F"/>
    <w:rsid w:val="6CC11C74"/>
    <w:rsid w:val="6D21370B"/>
    <w:rsid w:val="6E266DFA"/>
    <w:rsid w:val="6E365DDE"/>
    <w:rsid w:val="6F627807"/>
    <w:rsid w:val="709A0BC4"/>
    <w:rsid w:val="71720695"/>
    <w:rsid w:val="719A52F9"/>
    <w:rsid w:val="71A442C1"/>
    <w:rsid w:val="71AD7C63"/>
    <w:rsid w:val="72144590"/>
    <w:rsid w:val="72377F7A"/>
    <w:rsid w:val="7406129A"/>
    <w:rsid w:val="742D6E39"/>
    <w:rsid w:val="748372AA"/>
    <w:rsid w:val="752624BC"/>
    <w:rsid w:val="75E8126A"/>
    <w:rsid w:val="7611423C"/>
    <w:rsid w:val="766C3C49"/>
    <w:rsid w:val="76834367"/>
    <w:rsid w:val="76D637B8"/>
    <w:rsid w:val="77161E07"/>
    <w:rsid w:val="78E23F4E"/>
    <w:rsid w:val="797C23F5"/>
    <w:rsid w:val="79975481"/>
    <w:rsid w:val="79BC44F3"/>
    <w:rsid w:val="79DB0929"/>
    <w:rsid w:val="7AB83901"/>
    <w:rsid w:val="7B430ADD"/>
    <w:rsid w:val="7BFD5E1A"/>
    <w:rsid w:val="7C1F3110"/>
    <w:rsid w:val="7C470ACC"/>
    <w:rsid w:val="7EA85A3A"/>
    <w:rsid w:val="7EF95B76"/>
    <w:rsid w:val="7F361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9504</Words>
  <Characters>9593</Characters>
  <Lines>0</Lines>
  <Paragraphs>0</Paragraphs>
  <TotalTime>29</TotalTime>
  <ScaleCrop>false</ScaleCrop>
  <LinksUpToDate>false</LinksUpToDate>
  <CharactersWithSpaces>9698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2024-03-05T03:16:00Z</dcterms:created>
  <dc:creator>Administrator</dc:creator>
  <cp:lastModifiedBy>慕寒</cp:lastModifiedBy>
  <cp:lastPrinted>2024-12-16T07:19:00Z</cp:lastPrinted>
  <dcterms:modified xsi:type="dcterms:W3CDTF">2025-11-06T02:58:59Z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3285C9743D3C44F995D9833797E49533_13</vt:lpwstr>
  </property>
  <property fmtid="{D5CDD505-2E9C-101B-9397-08002B2CF9AE}" pid="4" name="KSOTemplateDocerSaveRecord">
    <vt:lpwstr>eyJoZGlkIjoiYjBiZmRjZjUxODA0Mzk4NWMzZWI4ODY2ZThiYTA5YWQiLCJ1c2VySWQiOiI1MTQ2OTI5ODgifQ==</vt:lpwstr>
  </property>
</Properties>
</file>