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DDC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0"/>
        <w:jc w:val="both"/>
        <w:rPr>
          <w:rFonts w:hint="eastAsia" w:ascii="方正小标宋简体" w:hAnsi="方正小标宋简体" w:eastAsia="方正小标宋简体" w:cs="方正小标宋简体"/>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auto"/>
          <w:spacing w:val="0"/>
          <w:kern w:val="2"/>
          <w:sz w:val="32"/>
          <w:szCs w:val="32"/>
          <w:shd w:val="clear" w:color="auto" w:fill="FFFFFF"/>
          <w:lang w:val="en-US" w:eastAsia="zh-CN" w:bidi="ar-SA"/>
        </w:rPr>
        <w:t>附件1：</w:t>
      </w:r>
    </w:p>
    <w:p w14:paraId="00DCC2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0"/>
        <w:jc w:val="center"/>
        <w:rPr>
          <w:rFonts w:hint="eastAsia" w:ascii="方正小标宋简体" w:hAnsi="方正小标宋简体" w:eastAsia="方正小标宋简体" w:cs="方正小标宋简体"/>
          <w:b w:val="0"/>
          <w:bCs/>
          <w:i w:val="0"/>
          <w:caps w:val="0"/>
          <w:color w:val="auto"/>
          <w:spacing w:val="0"/>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auto"/>
          <w:spacing w:val="0"/>
          <w:kern w:val="2"/>
          <w:sz w:val="44"/>
          <w:szCs w:val="44"/>
          <w:shd w:val="clear" w:color="auto" w:fill="FFFFFF"/>
          <w:lang w:val="en-US" w:eastAsia="zh-CN" w:bidi="ar-SA"/>
        </w:rPr>
        <w:t>开平市2025年高素质农民培育常规任务</w:t>
      </w:r>
    </w:p>
    <w:p w14:paraId="404F72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0"/>
        <w:jc w:val="center"/>
        <w:rPr>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i w:val="0"/>
          <w:caps w:val="0"/>
          <w:color w:val="auto"/>
          <w:spacing w:val="0"/>
          <w:kern w:val="2"/>
          <w:sz w:val="44"/>
          <w:szCs w:val="44"/>
          <w:shd w:val="clear" w:color="auto" w:fill="FFFFFF"/>
          <w:lang w:val="en-US" w:eastAsia="zh-CN" w:bidi="ar-SA"/>
        </w:rPr>
        <w:t>项目培育机构公开遴选评审办法</w:t>
      </w:r>
    </w:p>
    <w:p w14:paraId="09C41E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rPr>
          <w:rFonts w:hint="eastAsia" w:ascii="黑体" w:hAnsi="黑体" w:eastAsia="黑体" w:cs="黑体"/>
          <w:i w:val="0"/>
          <w:caps w:val="0"/>
          <w:color w:val="auto"/>
          <w:spacing w:val="0"/>
          <w:kern w:val="0"/>
          <w:sz w:val="32"/>
          <w:szCs w:val="32"/>
          <w:shd w:val="clear" w:color="auto" w:fill="FFFFFF"/>
          <w:lang w:val="en-US" w:eastAsia="zh-CN" w:bidi="ar"/>
        </w:rPr>
      </w:pPr>
    </w:p>
    <w:p w14:paraId="52EF1C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Cs/>
          <w:i w:val="0"/>
          <w:caps w:val="0"/>
          <w:color w:val="auto"/>
          <w:spacing w:val="0"/>
          <w:kern w:val="0"/>
          <w:sz w:val="32"/>
          <w:szCs w:val="32"/>
          <w:lang w:val="en-US" w:eastAsia="zh-CN" w:bidi="ar"/>
        </w:rPr>
      </w:pPr>
      <w:r>
        <w:rPr>
          <w:rFonts w:hint="eastAsia" w:ascii="黑体" w:hAnsi="黑体" w:eastAsia="黑体" w:cs="黑体"/>
          <w:b w:val="0"/>
          <w:bCs/>
          <w:i w:val="0"/>
          <w:caps w:val="0"/>
          <w:color w:val="auto"/>
          <w:spacing w:val="0"/>
          <w:kern w:val="2"/>
          <w:sz w:val="32"/>
          <w:szCs w:val="32"/>
          <w:shd w:val="clear" w:color="auto" w:fill="FFFFFF"/>
          <w:lang w:val="en-US" w:eastAsia="zh-CN" w:bidi="ar-SA"/>
        </w:rPr>
        <w:t>一、评审小组</w:t>
      </w:r>
    </w:p>
    <w:p w14:paraId="63533B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按照《2024年开平市高素质农民培育工作实施方案》要求，组织不少于3名专家组成评审组，对申报单位的申报材料进行评审，根据评分标准对符合条件的培训机构进行评分。由局相关业务股室、市纪委监委驻市农业农村局纪检监察组人员担任监督员，负责评审过程的监督工作。</w:t>
      </w:r>
    </w:p>
    <w:p w14:paraId="48CAB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主要职责：对</w:t>
      </w:r>
      <w:r>
        <w:rPr>
          <w:rFonts w:hint="eastAsia" w:ascii="Times New Roman" w:hAnsi="Times New Roman" w:eastAsia="仿宋_GB2312" w:cs="Times New Roman"/>
          <w:kern w:val="2"/>
          <w:sz w:val="32"/>
          <w:szCs w:val="32"/>
          <w:highlight w:val="none"/>
          <w:lang w:val="en-US" w:eastAsia="zh-CN" w:bidi="ar-SA"/>
        </w:rPr>
        <w:t>培育机构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的申报书进行开标、审查，评审推荐中标候选人。</w:t>
      </w:r>
    </w:p>
    <w:p w14:paraId="14D9CE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b/>
          <w:i w:val="0"/>
          <w:caps w:val="0"/>
          <w:color w:val="auto"/>
          <w:spacing w:val="0"/>
          <w:kern w:val="2"/>
          <w:sz w:val="32"/>
          <w:szCs w:val="32"/>
          <w:shd w:val="clear" w:color="auto" w:fill="FFFFFF"/>
          <w:lang w:val="en-US" w:eastAsia="zh-CN" w:bidi="ar-SA"/>
        </w:rPr>
        <w:t>二、评审方式</w:t>
      </w:r>
    </w:p>
    <w:p w14:paraId="7CE8B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召开现场评审会，对</w:t>
      </w:r>
      <w:r>
        <w:rPr>
          <w:rFonts w:hint="eastAsia" w:ascii="Times New Roman" w:hAnsi="Times New Roman" w:eastAsia="仿宋_GB2312" w:cs="Times New Roman"/>
          <w:kern w:val="2"/>
          <w:sz w:val="32"/>
          <w:szCs w:val="32"/>
          <w:highlight w:val="none"/>
          <w:lang w:val="en-US" w:eastAsia="zh-CN" w:bidi="ar-SA"/>
        </w:rPr>
        <w:t>培育机构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的标书进行现场开标、评审，推荐中标候选人。</w:t>
      </w:r>
    </w:p>
    <w:p w14:paraId="34F819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b/>
          <w:i w:val="0"/>
          <w:caps w:val="0"/>
          <w:color w:val="auto"/>
          <w:spacing w:val="0"/>
          <w:kern w:val="2"/>
          <w:sz w:val="32"/>
          <w:szCs w:val="32"/>
          <w:shd w:val="clear" w:color="auto" w:fill="FFFFFF"/>
          <w:lang w:val="en-US" w:eastAsia="zh-CN" w:bidi="ar-SA"/>
        </w:rPr>
        <w:t>三、评审办法及评分标准</w:t>
      </w:r>
    </w:p>
    <w:p w14:paraId="17E95B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shd w:val="clear" w:color="auto" w:fill="FFFFFF"/>
          <w:lang w:val="en-US" w:eastAsia="zh-CN" w:bidi="ar"/>
        </w:rPr>
        <w:t>（一）资格性、符合性评审</w:t>
      </w:r>
    </w:p>
    <w:p w14:paraId="20D38C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对</w:t>
      </w:r>
      <w:r>
        <w:rPr>
          <w:rFonts w:hint="eastAsia" w:ascii="Times New Roman" w:hAnsi="Times New Roman" w:eastAsia="仿宋_GB2312" w:cs="Times New Roman"/>
          <w:kern w:val="2"/>
          <w:sz w:val="32"/>
          <w:szCs w:val="32"/>
          <w:highlight w:val="none"/>
          <w:lang w:val="en-US" w:eastAsia="zh-CN" w:bidi="ar-SA"/>
        </w:rPr>
        <w:t>培育机构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资格性、符合性进行评审（见下表1），通过后进行综合评分。</w:t>
      </w:r>
    </w:p>
    <w:p w14:paraId="1ACA09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b/>
          <w:kern w:val="2"/>
          <w:sz w:val="27"/>
          <w:szCs w:val="27"/>
          <w:lang w:val="en-US" w:eastAsia="zh-CN" w:bidi="ar-SA"/>
        </w:rPr>
        <w:t>表1－资格性、符合性评审表</w:t>
      </w:r>
    </w:p>
    <w:tbl>
      <w:tblPr>
        <w:tblStyle w:val="3"/>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5"/>
        <w:gridCol w:w="849"/>
        <w:gridCol w:w="849"/>
        <w:gridCol w:w="849"/>
        <w:gridCol w:w="849"/>
        <w:gridCol w:w="849"/>
      </w:tblGrid>
      <w:tr w14:paraId="1375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5" w:type="dxa"/>
            <w:noWrap w:val="0"/>
            <w:vAlign w:val="center"/>
          </w:tcPr>
          <w:p w14:paraId="1BDD3994">
            <w:pPr>
              <w:keepNext w:val="0"/>
              <w:keepLines w:val="0"/>
              <w:widowControl/>
              <w:suppressLineNumbers w:val="0"/>
              <w:spacing w:before="0" w:beforeAutospacing="0" w:after="0" w:afterAutospacing="0"/>
              <w:ind w:right="0"/>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投标人/项目</w:t>
            </w:r>
          </w:p>
        </w:tc>
        <w:tc>
          <w:tcPr>
            <w:tcW w:w="849" w:type="dxa"/>
            <w:noWrap w:val="0"/>
            <w:vAlign w:val="center"/>
          </w:tcPr>
          <w:p w14:paraId="592A7CA8">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w:t>
            </w:r>
          </w:p>
        </w:tc>
        <w:tc>
          <w:tcPr>
            <w:tcW w:w="849" w:type="dxa"/>
            <w:noWrap w:val="0"/>
            <w:vAlign w:val="center"/>
          </w:tcPr>
          <w:p w14:paraId="6FE2F8F8">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w:t>
            </w:r>
          </w:p>
        </w:tc>
        <w:tc>
          <w:tcPr>
            <w:tcW w:w="849" w:type="dxa"/>
            <w:noWrap w:val="0"/>
            <w:vAlign w:val="center"/>
          </w:tcPr>
          <w:p w14:paraId="39F2E5E8">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w:t>
            </w:r>
          </w:p>
        </w:tc>
        <w:tc>
          <w:tcPr>
            <w:tcW w:w="849" w:type="dxa"/>
            <w:noWrap w:val="0"/>
            <w:vAlign w:val="center"/>
          </w:tcPr>
          <w:p w14:paraId="391CBCA7">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w:t>
            </w:r>
          </w:p>
        </w:tc>
        <w:tc>
          <w:tcPr>
            <w:tcW w:w="849" w:type="dxa"/>
            <w:noWrap w:val="0"/>
            <w:vAlign w:val="center"/>
          </w:tcPr>
          <w:p w14:paraId="6E64A69D">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w:t>
            </w:r>
          </w:p>
        </w:tc>
      </w:tr>
      <w:tr w14:paraId="64D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25" w:type="dxa"/>
            <w:noWrap w:val="0"/>
            <w:vAlign w:val="center"/>
          </w:tcPr>
          <w:p w14:paraId="36C80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培育机构具有合法经营资格的法人</w:t>
            </w:r>
          </w:p>
        </w:tc>
        <w:tc>
          <w:tcPr>
            <w:tcW w:w="849" w:type="dxa"/>
            <w:noWrap w:val="0"/>
            <w:vAlign w:val="center"/>
          </w:tcPr>
          <w:p w14:paraId="47EFD110">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58326A87">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2B2C168E">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2D217C03">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11B3A9C0">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r>
      <w:tr w14:paraId="2AD6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025" w:type="dxa"/>
            <w:noWrap w:val="0"/>
            <w:vAlign w:val="center"/>
          </w:tcPr>
          <w:p w14:paraId="79F5DD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仿宋_GB2312" w:cs="Times New Roman"/>
                <w:kern w:val="2"/>
                <w:sz w:val="21"/>
                <w:szCs w:val="21"/>
                <w:highlight w:val="none"/>
                <w:lang w:val="en-US" w:eastAsia="zh-CN" w:bidi="ar-SA"/>
              </w:rPr>
              <w:t>培育机构</w:t>
            </w:r>
            <w:r>
              <w:rPr>
                <w:rFonts w:hint="eastAsia" w:ascii="宋体" w:hAnsi="宋体" w:eastAsia="宋体" w:cs="宋体"/>
                <w:i w:val="0"/>
                <w:iCs w:val="0"/>
                <w:color w:val="auto"/>
                <w:kern w:val="0"/>
                <w:sz w:val="21"/>
                <w:szCs w:val="21"/>
                <w:highlight w:val="none"/>
                <w:u w:val="none"/>
                <w:lang w:val="en-US" w:eastAsia="zh-CN" w:bidi="ar"/>
              </w:rPr>
              <w:t>的申报报价不得高于控制价</w:t>
            </w:r>
          </w:p>
        </w:tc>
        <w:tc>
          <w:tcPr>
            <w:tcW w:w="849" w:type="dxa"/>
            <w:noWrap w:val="0"/>
            <w:vAlign w:val="center"/>
          </w:tcPr>
          <w:p w14:paraId="31FCEE54">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37420E59">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5D31ACAE">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1CA2CDF2">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79CF7FED">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r>
      <w:tr w14:paraId="5B12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25" w:type="dxa"/>
            <w:noWrap w:val="0"/>
            <w:vAlign w:val="center"/>
          </w:tcPr>
          <w:p w14:paraId="1944D8EA">
            <w:pPr>
              <w:keepNext w:val="0"/>
              <w:keepLines w:val="0"/>
              <w:widowControl/>
              <w:suppressLineNumbers w:val="0"/>
              <w:spacing w:before="0" w:beforeAutospacing="0" w:after="0" w:afterAutospacing="0"/>
              <w:ind w:right="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授权、签名、盖章符合相关规定</w:t>
            </w:r>
          </w:p>
        </w:tc>
        <w:tc>
          <w:tcPr>
            <w:tcW w:w="849" w:type="dxa"/>
            <w:noWrap w:val="0"/>
            <w:vAlign w:val="center"/>
          </w:tcPr>
          <w:p w14:paraId="75C74F55">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478DB10F">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3EBDC5BD">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3FE84E6E">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4BA65796">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r>
      <w:tr w14:paraId="0137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4025" w:type="dxa"/>
            <w:noWrap w:val="0"/>
            <w:vAlign w:val="center"/>
          </w:tcPr>
          <w:p w14:paraId="5D909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培育机构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849" w:type="dxa"/>
            <w:noWrap w:val="0"/>
            <w:vAlign w:val="center"/>
          </w:tcPr>
          <w:p w14:paraId="06904856">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7513B41F">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40A5AD5D">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72FC7CF5">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0E9998B9">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r>
      <w:tr w14:paraId="5895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025" w:type="dxa"/>
            <w:noWrap w:val="0"/>
            <w:vAlign w:val="center"/>
          </w:tcPr>
          <w:p w14:paraId="0B8437D1">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是否通过（填“是”或“否”）</w:t>
            </w:r>
          </w:p>
        </w:tc>
        <w:tc>
          <w:tcPr>
            <w:tcW w:w="849" w:type="dxa"/>
            <w:noWrap w:val="0"/>
            <w:vAlign w:val="center"/>
          </w:tcPr>
          <w:p w14:paraId="597CBAA9">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5C321E3D">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4F5560FC">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4CB84164">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c>
          <w:tcPr>
            <w:tcW w:w="849" w:type="dxa"/>
            <w:noWrap w:val="0"/>
            <w:vAlign w:val="center"/>
          </w:tcPr>
          <w:p w14:paraId="0EA14EAF">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r>
      <w:tr w14:paraId="5456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025" w:type="dxa"/>
            <w:noWrap w:val="0"/>
            <w:vAlign w:val="center"/>
          </w:tcPr>
          <w:p w14:paraId="51E99F74">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评审小组人员签名</w:t>
            </w:r>
          </w:p>
        </w:tc>
        <w:tc>
          <w:tcPr>
            <w:tcW w:w="4245" w:type="dxa"/>
            <w:gridSpan w:val="5"/>
            <w:noWrap w:val="0"/>
            <w:vAlign w:val="center"/>
          </w:tcPr>
          <w:p w14:paraId="59BC4343">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p>
        </w:tc>
      </w:tr>
      <w:tr w14:paraId="38A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025" w:type="dxa"/>
            <w:noWrap w:val="0"/>
            <w:vAlign w:val="center"/>
          </w:tcPr>
          <w:p w14:paraId="29E9CEED">
            <w:pPr>
              <w:keepNext w:val="0"/>
              <w:keepLines w:val="0"/>
              <w:widowControl/>
              <w:suppressLineNumbers w:val="0"/>
              <w:spacing w:before="0" w:beforeAutospacing="0" w:after="0" w:afterAutospacing="0"/>
              <w:ind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评审日期</w:t>
            </w:r>
          </w:p>
        </w:tc>
        <w:tc>
          <w:tcPr>
            <w:tcW w:w="4245" w:type="dxa"/>
            <w:gridSpan w:val="5"/>
            <w:noWrap w:val="0"/>
            <w:vAlign w:val="center"/>
          </w:tcPr>
          <w:p w14:paraId="4A8A4282">
            <w:pPr>
              <w:keepNext w:val="0"/>
              <w:keepLines w:val="0"/>
              <w:widowControl/>
              <w:suppressLineNumbers w:val="0"/>
              <w:spacing w:before="0" w:beforeAutospacing="0" w:after="0" w:afterAutospacing="0"/>
              <w:ind w:right="0"/>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     月     日</w:t>
            </w:r>
          </w:p>
        </w:tc>
      </w:tr>
    </w:tbl>
    <w:p w14:paraId="324E2A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楷体_GB2312" w:hAnsi="楷体_GB2312" w:eastAsia="楷体_GB2312" w:cs="楷体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shd w:val="clear" w:color="auto" w:fill="FFFFFF"/>
          <w:lang w:val="en-US" w:eastAsia="zh-CN" w:bidi="ar"/>
        </w:rPr>
        <w:t>（二）综合评审</w:t>
      </w:r>
    </w:p>
    <w:p w14:paraId="642414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50" w:lineRule="exact"/>
        <w:ind w:firstLine="640" w:firstLineChars="200"/>
        <w:jc w:val="both"/>
        <w:textAlignment w:val="baseline"/>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用综合评分法进行评标。评审小组对照以下评分标准对培育机构申报书、开班计划等遴选文件进行评审和比较，通过综合评分标准评审。计算得出所有参与遴选的培育机构的综合得分（综合得分=商务部分+技术部分</w:t>
      </w:r>
      <w:bookmarkStart w:id="0" w:name="_GoBack"/>
      <w:bookmarkEnd w:id="0"/>
      <w:r>
        <w:rPr>
          <w:rFonts w:hint="eastAsia" w:ascii="仿宋_GB2312" w:hAnsi="仿宋_GB2312" w:eastAsia="仿宋_GB2312" w:cs="仿宋_GB2312"/>
          <w:kern w:val="2"/>
          <w:sz w:val="32"/>
          <w:szCs w:val="32"/>
          <w:lang w:val="en-US" w:eastAsia="zh-CN" w:bidi="ar-SA"/>
        </w:rPr>
        <w:t>），按照综合得分从高到低排出名次。综合得分相同的，由评审小组投票决定排名顺序，推荐排名第一的培育机构作为评选候选人。评审结果经本项目主办股室分管局领导签字确认后进行公示。公示7日无异议后，与培育机构商议签订委托培训合同书，并将结果报上级主管部门备案。具体评分标准如下：</w:t>
      </w:r>
    </w:p>
    <w:tbl>
      <w:tblPr>
        <w:tblStyle w:val="5"/>
        <w:tblW w:w="533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038"/>
        <w:gridCol w:w="531"/>
        <w:gridCol w:w="7212"/>
      </w:tblGrid>
      <w:tr w14:paraId="5BF3A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229" w:type="pct"/>
            <w:gridSpan w:val="3"/>
            <w:noWrap w:val="0"/>
            <w:vAlign w:val="center"/>
          </w:tcPr>
          <w:p w14:paraId="2712AB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0"/>
                <w:kern w:val="2"/>
                <w:sz w:val="24"/>
                <w:szCs w:val="24"/>
                <w:highlight w:val="none"/>
                <w:lang w:val="en-US" w:eastAsia="en-US" w:bidi="ar-SA"/>
              </w:rPr>
            </w:pPr>
            <w:r>
              <w:rPr>
                <w:rFonts w:hint="eastAsia" w:ascii="宋体" w:hAnsi="宋体" w:eastAsia="宋体" w:cs="宋体"/>
                <w:color w:val="auto"/>
                <w:spacing w:val="0"/>
                <w:kern w:val="2"/>
                <w:sz w:val="24"/>
                <w:szCs w:val="24"/>
                <w:highlight w:val="none"/>
                <w:lang w:val="en-US" w:eastAsia="en-US" w:bidi="ar-SA"/>
              </w:rPr>
              <w:t>分值构成</w:t>
            </w:r>
          </w:p>
        </w:tc>
        <w:tc>
          <w:tcPr>
            <w:tcW w:w="3770" w:type="pct"/>
            <w:noWrap w:val="0"/>
            <w:vAlign w:val="center"/>
          </w:tcPr>
          <w:p w14:paraId="348E978F">
            <w:pPr>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0"/>
              <w:jc w:val="center"/>
              <w:textAlignment w:val="baseline"/>
              <w:rPr>
                <w:rFonts w:hint="default"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商务部分40分、技术部分60分</w:t>
            </w:r>
          </w:p>
        </w:tc>
      </w:tr>
      <w:tr w14:paraId="67862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409" w:type="pct"/>
            <w:noWrap w:val="0"/>
            <w:vAlign w:val="center"/>
          </w:tcPr>
          <w:p w14:paraId="16C7D0DF">
            <w:pPr>
              <w:keepNext w:val="0"/>
              <w:keepLines w:val="0"/>
              <w:pageBreakBefore w:val="0"/>
              <w:widowControl/>
              <w:numPr>
                <w:ilvl w:val="0"/>
                <w:numId w:val="0"/>
              </w:numPr>
              <w:suppressLineNumbers w:val="0"/>
              <w:wordWrap/>
              <w:overflowPunct/>
              <w:topLinePunct w:val="0"/>
              <w:bidi w:val="0"/>
              <w:spacing w:after="0"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评分因素</w:t>
            </w:r>
          </w:p>
        </w:tc>
        <w:tc>
          <w:tcPr>
            <w:tcW w:w="542" w:type="pct"/>
            <w:noWrap w:val="0"/>
            <w:vAlign w:val="center"/>
          </w:tcPr>
          <w:p w14:paraId="65156A47">
            <w:pPr>
              <w:keepNext w:val="0"/>
              <w:keepLines w:val="0"/>
              <w:pageBreakBefore w:val="0"/>
              <w:widowControl/>
              <w:numPr>
                <w:ilvl w:val="0"/>
                <w:numId w:val="0"/>
              </w:numPr>
              <w:suppressLineNumbers w:val="0"/>
              <w:wordWrap/>
              <w:overflowPunct/>
              <w:topLinePunct w:val="0"/>
              <w:bidi w:val="0"/>
              <w:spacing w:after="0"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评分项目</w:t>
            </w:r>
          </w:p>
        </w:tc>
        <w:tc>
          <w:tcPr>
            <w:tcW w:w="278" w:type="pct"/>
            <w:noWrap w:val="0"/>
            <w:vAlign w:val="center"/>
          </w:tcPr>
          <w:p w14:paraId="32F52DA6">
            <w:pPr>
              <w:keepNext w:val="0"/>
              <w:keepLines w:val="0"/>
              <w:pageBreakBefore w:val="0"/>
              <w:widowControl/>
              <w:numPr>
                <w:ilvl w:val="0"/>
                <w:numId w:val="0"/>
              </w:numPr>
              <w:suppressLineNumbers w:val="0"/>
              <w:wordWrap/>
              <w:overflowPunct/>
              <w:topLinePunct w:val="0"/>
              <w:bidi w:val="0"/>
              <w:spacing w:after="0"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分值</w:t>
            </w:r>
          </w:p>
        </w:tc>
        <w:tc>
          <w:tcPr>
            <w:tcW w:w="3770" w:type="pct"/>
            <w:noWrap w:val="0"/>
            <w:vAlign w:val="center"/>
          </w:tcPr>
          <w:p w14:paraId="7CB80119">
            <w:pPr>
              <w:keepNext w:val="0"/>
              <w:keepLines w:val="0"/>
              <w:pageBreakBefore w:val="0"/>
              <w:widowControl/>
              <w:numPr>
                <w:ilvl w:val="0"/>
                <w:numId w:val="0"/>
              </w:numPr>
              <w:suppressLineNumbers w:val="0"/>
              <w:wordWrap/>
              <w:overflowPunct/>
              <w:topLinePunct w:val="0"/>
              <w:bidi w:val="0"/>
              <w:spacing w:after="0" w:line="400" w:lineRule="exact"/>
              <w:ind w:firstLine="2640" w:firstLineChars="11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评分标准</w:t>
            </w:r>
          </w:p>
        </w:tc>
      </w:tr>
      <w:tr w14:paraId="59753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jc w:val="center"/>
        </w:trPr>
        <w:tc>
          <w:tcPr>
            <w:tcW w:w="409" w:type="pct"/>
            <w:vMerge w:val="restart"/>
            <w:noWrap w:val="0"/>
            <w:vAlign w:val="center"/>
          </w:tcPr>
          <w:p w14:paraId="33FC4C98">
            <w:pPr>
              <w:keepNext w:val="0"/>
              <w:keepLines w:val="0"/>
              <w:pageBreakBefore w:val="0"/>
              <w:widowControl/>
              <w:numPr>
                <w:ilvl w:val="0"/>
                <w:numId w:val="0"/>
              </w:numPr>
              <w:suppressLineNumbers w:val="0"/>
              <w:wordWrap/>
              <w:overflowPunct/>
              <w:topLinePunct w:val="0"/>
              <w:bidi w:val="0"/>
              <w:spacing w:after="0"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商务部分</w:t>
            </w:r>
          </w:p>
        </w:tc>
        <w:tc>
          <w:tcPr>
            <w:tcW w:w="542" w:type="pct"/>
            <w:noWrap w:val="0"/>
            <w:vAlign w:val="center"/>
          </w:tcPr>
          <w:p w14:paraId="1901332F">
            <w:pPr>
              <w:keepNext w:val="0"/>
              <w:keepLines w:val="0"/>
              <w:pageBreakBefore w:val="0"/>
              <w:widowControl/>
              <w:numPr>
                <w:ilvl w:val="0"/>
                <w:numId w:val="0"/>
              </w:numPr>
              <w:suppressLineNumbers w:val="0"/>
              <w:wordWrap/>
              <w:overflowPunct/>
              <w:topLinePunct w:val="0"/>
              <w:bidi w:val="0"/>
              <w:spacing w:after="0"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采购需求响应程度</w:t>
            </w:r>
          </w:p>
        </w:tc>
        <w:tc>
          <w:tcPr>
            <w:tcW w:w="278" w:type="pct"/>
            <w:noWrap w:val="0"/>
            <w:vAlign w:val="center"/>
          </w:tcPr>
          <w:p w14:paraId="641ACF03">
            <w:pPr>
              <w:keepNext w:val="0"/>
              <w:keepLines w:val="0"/>
              <w:pageBreakBefore w:val="0"/>
              <w:widowControl/>
              <w:numPr>
                <w:ilvl w:val="0"/>
                <w:numId w:val="0"/>
              </w:numPr>
              <w:suppressLineNumbers w:val="0"/>
              <w:wordWrap/>
              <w:overflowPunct/>
              <w:topLinePunct w:val="0"/>
              <w:bidi w:val="0"/>
              <w:spacing w:after="0"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5分</w:t>
            </w:r>
          </w:p>
        </w:tc>
        <w:tc>
          <w:tcPr>
            <w:tcW w:w="3770" w:type="pct"/>
            <w:noWrap w:val="0"/>
            <w:vAlign w:val="top"/>
          </w:tcPr>
          <w:p w14:paraId="0F8BE0AC">
            <w:pPr>
              <w:keepNext w:val="0"/>
              <w:keepLines w:val="0"/>
              <w:pageBreakBefore w:val="0"/>
              <w:widowControl/>
              <w:numPr>
                <w:ilvl w:val="0"/>
                <w:numId w:val="0"/>
              </w:numPr>
              <w:suppressLineNumbers w:val="0"/>
              <w:wordWrap/>
              <w:overflowPunct/>
              <w:topLinePunct w:val="0"/>
              <w:bidi w:val="0"/>
              <w:spacing w:after="0" w:line="4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1.完全满足并有优于本项目遴选需求要求的，得5分。</w:t>
            </w:r>
          </w:p>
          <w:p w14:paraId="2A5E621E">
            <w:pPr>
              <w:keepNext w:val="0"/>
              <w:keepLines w:val="0"/>
              <w:pageBreakBefore w:val="0"/>
              <w:widowControl/>
              <w:numPr>
                <w:ilvl w:val="0"/>
                <w:numId w:val="0"/>
              </w:numPr>
              <w:suppressLineNumbers w:val="0"/>
              <w:wordWrap/>
              <w:overflowPunct/>
              <w:topLinePunct w:val="0"/>
              <w:bidi w:val="0"/>
              <w:spacing w:after="0" w:line="4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2.完全满足本项目遴选需求要求的，得3分。</w:t>
            </w:r>
          </w:p>
          <w:p w14:paraId="1C79BD38">
            <w:pPr>
              <w:keepNext w:val="0"/>
              <w:keepLines w:val="0"/>
              <w:pageBreakBefore w:val="0"/>
              <w:widowControl/>
              <w:numPr>
                <w:ilvl w:val="0"/>
                <w:numId w:val="0"/>
              </w:numPr>
              <w:suppressLineNumbers w:val="0"/>
              <w:wordWrap/>
              <w:overflowPunct/>
              <w:topLinePunct w:val="0"/>
              <w:bidi w:val="0"/>
              <w:spacing w:after="0" w:line="4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3.对本项目遴选需求有负偏离的，得1分。</w:t>
            </w:r>
          </w:p>
        </w:tc>
      </w:tr>
      <w:tr w14:paraId="255C0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409" w:type="pct"/>
            <w:vMerge w:val="continue"/>
            <w:noWrap w:val="0"/>
            <w:vAlign w:val="center"/>
          </w:tcPr>
          <w:p w14:paraId="0C66D4B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0"/>
                <w:kern w:val="2"/>
                <w:sz w:val="24"/>
                <w:szCs w:val="24"/>
                <w:highlight w:val="none"/>
                <w:lang w:val="en-US" w:eastAsia="zh-CN" w:bidi="ar-SA"/>
              </w:rPr>
            </w:pPr>
          </w:p>
        </w:tc>
        <w:tc>
          <w:tcPr>
            <w:tcW w:w="542" w:type="pct"/>
            <w:noWrap w:val="0"/>
            <w:vAlign w:val="center"/>
          </w:tcPr>
          <w:p w14:paraId="0BE9C55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同类业绩</w:t>
            </w:r>
          </w:p>
        </w:tc>
        <w:tc>
          <w:tcPr>
            <w:tcW w:w="278" w:type="pct"/>
            <w:noWrap w:val="0"/>
            <w:vAlign w:val="center"/>
          </w:tcPr>
          <w:p w14:paraId="17D853E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15分</w:t>
            </w:r>
          </w:p>
        </w:tc>
        <w:tc>
          <w:tcPr>
            <w:tcW w:w="3770" w:type="pct"/>
            <w:noWrap w:val="0"/>
            <w:vAlign w:val="top"/>
          </w:tcPr>
          <w:p w14:paraId="08F04B1B">
            <w:pPr>
              <w:keepNext w:val="0"/>
              <w:keepLines w:val="0"/>
              <w:pageBreakBefore w:val="0"/>
              <w:widowControl/>
              <w:numPr>
                <w:ilvl w:val="0"/>
                <w:numId w:val="0"/>
              </w:numPr>
              <w:suppressLineNumbers w:val="0"/>
              <w:wordWrap/>
              <w:overflowPunct/>
              <w:topLinePunct w:val="0"/>
              <w:bidi w:val="0"/>
              <w:spacing w:after="0" w:line="400" w:lineRule="exact"/>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1.近三年承担过高素质农民培育工作，且培训学员满意度均≥90%。</w:t>
            </w:r>
            <w:r>
              <w:rPr>
                <w:rFonts w:hint="eastAsia" w:ascii="宋体" w:hAnsi="宋体" w:eastAsia="宋体" w:cs="宋体"/>
                <w:color w:val="auto"/>
                <w:spacing w:val="0"/>
                <w:sz w:val="24"/>
                <w:szCs w:val="24"/>
                <w:highlight w:val="none"/>
                <w:lang w:eastAsia="zh-CN"/>
              </w:rPr>
              <w:t>得</w:t>
            </w: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rPr>
              <w:t>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lang w:eastAsia="zh-CN"/>
              </w:rPr>
              <w:t>未提供得0分。</w:t>
            </w:r>
          </w:p>
          <w:p w14:paraId="4410FFDF">
            <w:pPr>
              <w:keepNext w:val="0"/>
              <w:keepLines w:val="0"/>
              <w:pageBreakBefore w:val="0"/>
              <w:widowControl/>
              <w:numPr>
                <w:ilvl w:val="0"/>
                <w:numId w:val="0"/>
              </w:numPr>
              <w:suppressLineNumbers w:val="0"/>
              <w:wordWrap/>
              <w:overflowPunct/>
              <w:topLinePunct w:val="0"/>
              <w:bidi w:val="0"/>
              <w:spacing w:after="0" w:line="4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2.列入2025年广东省高素质农民培育基地入库名单，</w:t>
            </w:r>
            <w:r>
              <w:rPr>
                <w:rFonts w:hint="eastAsia" w:ascii="宋体" w:hAnsi="宋体" w:eastAsia="宋体" w:cs="宋体"/>
                <w:color w:val="auto"/>
                <w:spacing w:val="0"/>
                <w:sz w:val="24"/>
                <w:szCs w:val="24"/>
                <w:highlight w:val="none"/>
                <w:lang w:eastAsia="zh-CN"/>
              </w:rPr>
              <w:t>得</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lang w:eastAsia="zh-CN"/>
              </w:rPr>
              <w:t>未提供得0分。</w:t>
            </w:r>
          </w:p>
          <w:p w14:paraId="09D9C582">
            <w:pPr>
              <w:keepNext w:val="0"/>
              <w:keepLines w:val="0"/>
              <w:pageBreakBefore w:val="0"/>
              <w:widowControl/>
              <w:numPr>
                <w:ilvl w:val="0"/>
                <w:numId w:val="0"/>
              </w:numPr>
              <w:suppressLineNumbers w:val="0"/>
              <w:wordWrap/>
              <w:overflowPunct/>
              <w:topLinePunct w:val="0"/>
              <w:bidi w:val="0"/>
              <w:spacing w:after="0" w:line="400" w:lineRule="exact"/>
              <w:ind w:left="0" w:leftChars="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注：提供合同复印件作为证明材料，不提供不得分。</w:t>
            </w:r>
          </w:p>
        </w:tc>
      </w:tr>
      <w:tr w14:paraId="546CF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409" w:type="pct"/>
            <w:vMerge w:val="continue"/>
            <w:noWrap w:val="0"/>
            <w:vAlign w:val="center"/>
          </w:tcPr>
          <w:p w14:paraId="59DC9C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0"/>
                <w:kern w:val="2"/>
                <w:sz w:val="24"/>
                <w:szCs w:val="24"/>
                <w:highlight w:val="none"/>
                <w:lang w:val="en-US" w:eastAsia="zh-CN" w:bidi="ar-SA"/>
              </w:rPr>
            </w:pPr>
          </w:p>
        </w:tc>
        <w:tc>
          <w:tcPr>
            <w:tcW w:w="542" w:type="pct"/>
            <w:noWrap w:val="0"/>
            <w:vAlign w:val="center"/>
          </w:tcPr>
          <w:p w14:paraId="74ECB2CD">
            <w:pPr>
              <w:keepNext w:val="0"/>
              <w:keepLines w:val="0"/>
              <w:pageBreakBefore w:val="0"/>
              <w:widowControl/>
              <w:suppressLineNumbers w:val="0"/>
              <w:wordWrap/>
              <w:overflowPunct/>
              <w:topLinePunct w:val="0"/>
              <w:bidi w:val="0"/>
              <w:spacing w:line="44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eastAsia="zh-CN"/>
              </w:rPr>
              <w:t>培育设施</w:t>
            </w:r>
          </w:p>
        </w:tc>
        <w:tc>
          <w:tcPr>
            <w:tcW w:w="278" w:type="pct"/>
            <w:noWrap w:val="0"/>
            <w:vAlign w:val="center"/>
          </w:tcPr>
          <w:p w14:paraId="480E0BB4">
            <w:pPr>
              <w:keepNext w:val="0"/>
              <w:keepLines w:val="0"/>
              <w:pageBreakBefore w:val="0"/>
              <w:widowControl/>
              <w:suppressLineNumbers w:val="0"/>
              <w:wordWrap/>
              <w:overflowPunct/>
              <w:topLinePunct w:val="0"/>
              <w:bidi w:val="0"/>
              <w:spacing w:line="44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20分</w:t>
            </w:r>
          </w:p>
        </w:tc>
        <w:tc>
          <w:tcPr>
            <w:tcW w:w="3770" w:type="pct"/>
            <w:noWrap w:val="0"/>
            <w:vAlign w:val="top"/>
          </w:tcPr>
          <w:p w14:paraId="6C5F5C7F">
            <w:pPr>
              <w:keepNext w:val="0"/>
              <w:keepLines w:val="0"/>
              <w:pageBreakBefore w:val="0"/>
              <w:widowControl/>
              <w:numPr>
                <w:ilvl w:val="0"/>
                <w:numId w:val="0"/>
              </w:numPr>
              <w:suppressLineNumbers w:val="0"/>
              <w:wordWrap/>
              <w:overflowPunct/>
              <w:topLinePunct w:val="0"/>
              <w:bidi w:val="0"/>
              <w:spacing w:after="0" w:line="400" w:lineRule="exact"/>
              <w:ind w:firstLine="240" w:firstLineChars="100"/>
              <w:jc w:val="left"/>
              <w:textAlignment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有集中教学场所及配套设施设备(自有的提供相关权属证明、合作的提供场地租用合作协议，以及场所照片、设备清单等资料）</w:t>
            </w:r>
            <w:r>
              <w:rPr>
                <w:rFonts w:hint="eastAsia" w:ascii="宋体" w:hAnsi="宋体" w:eastAsia="宋体" w:cs="宋体"/>
                <w:color w:val="auto"/>
                <w:spacing w:val="0"/>
                <w:sz w:val="24"/>
                <w:szCs w:val="24"/>
                <w:highlight w:val="none"/>
                <w:lang w:eastAsia="zh-CN"/>
              </w:rPr>
              <w:t>，得</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lang w:eastAsia="zh-CN"/>
              </w:rPr>
              <w:t>未提供得0分。</w:t>
            </w:r>
          </w:p>
          <w:p w14:paraId="19097E67">
            <w:pPr>
              <w:keepNext w:val="0"/>
              <w:keepLines w:val="0"/>
              <w:pageBreakBefore w:val="0"/>
              <w:widowControl/>
              <w:numPr>
                <w:ilvl w:val="0"/>
                <w:numId w:val="0"/>
              </w:numPr>
              <w:suppressLineNumbers w:val="0"/>
              <w:wordWrap/>
              <w:overflowPunct/>
              <w:topLinePunct w:val="0"/>
              <w:bidi w:val="0"/>
              <w:spacing w:after="0" w:line="400" w:lineRule="exact"/>
              <w:ind w:firstLine="240" w:firstLineChars="100"/>
              <w:jc w:val="left"/>
              <w:textAlignment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有实习实训场所或合作实训基地(自有的提供相关权属证明、合作的提供场地租用合作协议，以及场所照片、设备清单等资料）</w:t>
            </w:r>
            <w:r>
              <w:rPr>
                <w:rFonts w:hint="eastAsia" w:ascii="宋体" w:hAnsi="宋体" w:eastAsia="宋体" w:cs="宋体"/>
                <w:color w:val="auto"/>
                <w:spacing w:val="0"/>
                <w:sz w:val="24"/>
                <w:szCs w:val="24"/>
                <w:highlight w:val="none"/>
                <w:lang w:eastAsia="zh-CN"/>
              </w:rPr>
              <w:t>，得</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lang w:eastAsia="zh-CN"/>
              </w:rPr>
              <w:t>未提供得0分。</w:t>
            </w:r>
          </w:p>
          <w:p w14:paraId="5302868F">
            <w:pPr>
              <w:keepNext w:val="0"/>
              <w:keepLines w:val="0"/>
              <w:pageBreakBefore w:val="0"/>
              <w:widowControl/>
              <w:numPr>
                <w:ilvl w:val="0"/>
                <w:numId w:val="0"/>
              </w:numPr>
              <w:suppressLineNumbers w:val="0"/>
              <w:wordWrap/>
              <w:overflowPunct/>
              <w:topLinePunct w:val="0"/>
              <w:bidi w:val="0"/>
              <w:spacing w:after="0" w:line="400" w:lineRule="exact"/>
              <w:ind w:firstLine="240" w:firstLineChars="100"/>
              <w:jc w:val="left"/>
              <w:textAlignment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有专职教学管理人员和专兼职教师队伍（教师队伍需录入农民教育培训信息管理系统师资库，并提供人员名单，以及和教师签订的合作协议等）</w:t>
            </w:r>
            <w:r>
              <w:rPr>
                <w:rFonts w:hint="eastAsia" w:ascii="宋体" w:hAnsi="宋体" w:eastAsia="宋体" w:cs="宋体"/>
                <w:color w:val="auto"/>
                <w:spacing w:val="0"/>
                <w:sz w:val="24"/>
                <w:szCs w:val="24"/>
                <w:highlight w:val="none"/>
                <w:lang w:eastAsia="zh-CN"/>
              </w:rPr>
              <w:t>，得</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lang w:eastAsia="zh-CN"/>
              </w:rPr>
              <w:t>未提供得0分。</w:t>
            </w:r>
          </w:p>
          <w:p w14:paraId="65C694BB">
            <w:pPr>
              <w:keepNext w:val="0"/>
              <w:keepLines w:val="0"/>
              <w:pageBreakBefore w:val="0"/>
              <w:widowControl/>
              <w:numPr>
                <w:ilvl w:val="0"/>
                <w:numId w:val="0"/>
              </w:numPr>
              <w:suppressLineNumbers w:val="0"/>
              <w:wordWrap/>
              <w:overflowPunct/>
              <w:topLinePunct w:val="0"/>
              <w:bidi w:val="0"/>
              <w:spacing w:after="0" w:line="400" w:lineRule="exact"/>
              <w:ind w:firstLine="240" w:firstLineChars="100"/>
              <w:jc w:val="left"/>
              <w:textAlignment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有培训</w:t>
            </w:r>
            <w:r>
              <w:rPr>
                <w:rFonts w:hint="eastAsia" w:ascii="宋体" w:hAnsi="宋体" w:eastAsia="宋体" w:cs="宋体"/>
                <w:color w:val="auto"/>
                <w:spacing w:val="0"/>
                <w:sz w:val="24"/>
                <w:szCs w:val="24"/>
                <w:highlight w:val="none"/>
                <w:lang w:eastAsia="zh-CN"/>
              </w:rPr>
              <w:t>内容</w:t>
            </w:r>
            <w:r>
              <w:rPr>
                <w:rFonts w:hint="eastAsia" w:ascii="宋体" w:hAnsi="宋体" w:eastAsia="宋体" w:cs="宋体"/>
                <w:color w:val="auto"/>
                <w:spacing w:val="0"/>
                <w:sz w:val="24"/>
                <w:szCs w:val="24"/>
                <w:highlight w:val="none"/>
              </w:rPr>
              <w:t>所要求的其他软硬件条件（提供照片等佐证材料）</w:t>
            </w:r>
            <w:r>
              <w:rPr>
                <w:rFonts w:hint="eastAsia" w:ascii="宋体" w:hAnsi="宋体" w:eastAsia="宋体" w:cs="宋体"/>
                <w:color w:val="auto"/>
                <w:spacing w:val="0"/>
                <w:sz w:val="24"/>
                <w:szCs w:val="24"/>
                <w:highlight w:val="none"/>
                <w:lang w:eastAsia="zh-CN"/>
              </w:rPr>
              <w:t>，得</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lang w:eastAsia="zh-CN"/>
              </w:rPr>
              <w:t>未提供得0分。</w:t>
            </w:r>
          </w:p>
        </w:tc>
      </w:tr>
      <w:tr w14:paraId="5CA73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jc w:val="center"/>
        </w:trPr>
        <w:tc>
          <w:tcPr>
            <w:tcW w:w="409" w:type="pct"/>
            <w:vMerge w:val="restart"/>
            <w:noWrap w:val="0"/>
            <w:vAlign w:val="center"/>
          </w:tcPr>
          <w:p w14:paraId="46E0AC3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技术部分</w:t>
            </w:r>
          </w:p>
        </w:tc>
        <w:tc>
          <w:tcPr>
            <w:tcW w:w="542" w:type="pct"/>
            <w:noWrap w:val="0"/>
            <w:vAlign w:val="center"/>
          </w:tcPr>
          <w:p w14:paraId="4E8C7B8A">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default"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课时安排</w:t>
            </w:r>
          </w:p>
        </w:tc>
        <w:tc>
          <w:tcPr>
            <w:tcW w:w="278" w:type="pct"/>
            <w:noWrap w:val="0"/>
            <w:vAlign w:val="center"/>
          </w:tcPr>
          <w:p w14:paraId="0418ABC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10分</w:t>
            </w:r>
          </w:p>
        </w:tc>
        <w:tc>
          <w:tcPr>
            <w:tcW w:w="3770" w:type="pct"/>
            <w:noWrap w:val="0"/>
            <w:vAlign w:val="top"/>
          </w:tcPr>
          <w:p w14:paraId="3DB2C8BB">
            <w:pPr>
              <w:keepNext w:val="0"/>
              <w:keepLines w:val="0"/>
              <w:pageBreakBefore w:val="0"/>
              <w:widowControl/>
              <w:numPr>
                <w:ilvl w:val="0"/>
                <w:numId w:val="0"/>
              </w:numPr>
              <w:suppressLineNumbers w:val="0"/>
              <w:wordWrap/>
              <w:overflowPunct/>
              <w:topLinePunct w:val="0"/>
              <w:bidi w:val="0"/>
              <w:spacing w:after="0" w:line="4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1.培育时间不少于</w:t>
            </w:r>
            <w:r>
              <w:rPr>
                <w:rFonts w:hint="eastAsia" w:ascii="宋体" w:hAnsi="宋体" w:cs="宋体"/>
                <w:i w:val="0"/>
                <w:iCs w:val="0"/>
                <w:color w:val="auto"/>
                <w:kern w:val="0"/>
                <w:sz w:val="24"/>
                <w:szCs w:val="24"/>
                <w:highlight w:val="none"/>
                <w:u w:val="none"/>
                <w:lang w:val="en-US" w:eastAsia="zh-CN" w:bidi="ar"/>
              </w:rPr>
              <w:t>56</w:t>
            </w:r>
            <w:r>
              <w:rPr>
                <w:rFonts w:hint="eastAsia" w:ascii="宋体" w:hAnsi="宋体" w:eastAsia="宋体" w:cs="宋体"/>
                <w:i w:val="0"/>
                <w:iCs w:val="0"/>
                <w:color w:val="auto"/>
                <w:kern w:val="0"/>
                <w:sz w:val="24"/>
                <w:szCs w:val="24"/>
                <w:highlight w:val="none"/>
                <w:u w:val="none"/>
                <w:lang w:val="en-US" w:eastAsia="zh-CN" w:bidi="ar"/>
              </w:rPr>
              <w:t>学时（不少于</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天），同一班次可采取分段实施的方式；符合得3分，不符合得0分。</w:t>
            </w:r>
          </w:p>
          <w:p w14:paraId="77EC017C">
            <w:pPr>
              <w:keepNext w:val="0"/>
              <w:keepLines w:val="0"/>
              <w:pageBreakBefore w:val="0"/>
              <w:widowControl/>
              <w:numPr>
                <w:ilvl w:val="0"/>
                <w:numId w:val="0"/>
              </w:numPr>
              <w:suppressLineNumbers w:val="0"/>
              <w:wordWrap/>
              <w:overflowPunct/>
              <w:topLinePunct w:val="0"/>
              <w:bidi w:val="0"/>
              <w:spacing w:after="0" w:line="4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2.综合素养课包括思想政治、政策法规、职业素养和文化素养，包括“开班第一课”，学时数不低于总学时数的10%；符合得3分，不符合得0分。</w:t>
            </w:r>
          </w:p>
          <w:p w14:paraId="26624985">
            <w:pPr>
              <w:keepNext w:val="0"/>
              <w:keepLines w:val="0"/>
              <w:pageBreakBefore w:val="0"/>
              <w:widowControl/>
              <w:numPr>
                <w:ilvl w:val="0"/>
                <w:numId w:val="0"/>
              </w:numPr>
              <w:suppressLineNumbers w:val="0"/>
              <w:wordWrap/>
              <w:overflowPunct/>
              <w:topLinePunct w:val="0"/>
              <w:bidi w:val="0"/>
              <w:spacing w:after="0" w:line="4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3.专业技能课符合专题班实际需求，紧紧围绕培育主题开设。学时数不低于总学时数的70%，其中，采取实践教学的比例不低于专业技能课学时数的50%；符合得2分，不符合得0分。</w:t>
            </w:r>
          </w:p>
          <w:p w14:paraId="1ADA31F9">
            <w:pPr>
              <w:keepNext w:val="0"/>
              <w:keepLines w:val="0"/>
              <w:pageBreakBefore w:val="0"/>
              <w:widowControl/>
              <w:numPr>
                <w:ilvl w:val="0"/>
                <w:numId w:val="0"/>
              </w:numPr>
              <w:suppressLineNumbers w:val="0"/>
              <w:wordWrap/>
              <w:overflowPunct/>
              <w:topLinePunct w:val="0"/>
              <w:bidi w:val="0"/>
              <w:spacing w:after="0" w:line="4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4.能力拓展课由培育机构根据培育对象实际需求，紧紧围绕培育主题开设，学时数不高于总学时数的20%；符合得2分，不符合得0分。</w:t>
            </w:r>
          </w:p>
        </w:tc>
      </w:tr>
      <w:tr w14:paraId="60B6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409" w:type="pct"/>
            <w:vMerge w:val="continue"/>
            <w:noWrap w:val="0"/>
            <w:vAlign w:val="center"/>
          </w:tcPr>
          <w:p w14:paraId="4025D29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0"/>
                <w:kern w:val="2"/>
                <w:sz w:val="24"/>
                <w:szCs w:val="24"/>
                <w:highlight w:val="none"/>
                <w:lang w:val="en-US" w:eastAsia="en-US" w:bidi="ar-SA"/>
              </w:rPr>
            </w:pPr>
          </w:p>
        </w:tc>
        <w:tc>
          <w:tcPr>
            <w:tcW w:w="542" w:type="pct"/>
            <w:noWrap w:val="0"/>
            <w:vAlign w:val="center"/>
          </w:tcPr>
          <w:p w14:paraId="7AD11704">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default"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授课安排 </w:t>
            </w:r>
          </w:p>
        </w:tc>
        <w:tc>
          <w:tcPr>
            <w:tcW w:w="278" w:type="pct"/>
            <w:noWrap w:val="0"/>
            <w:vAlign w:val="center"/>
          </w:tcPr>
          <w:p w14:paraId="4D7C62B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default"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10分</w:t>
            </w:r>
          </w:p>
        </w:tc>
        <w:tc>
          <w:tcPr>
            <w:tcW w:w="3770" w:type="pct"/>
            <w:noWrap w:val="0"/>
            <w:vAlign w:val="top"/>
          </w:tcPr>
          <w:p w14:paraId="630653BC">
            <w:pPr>
              <w:keepNext w:val="0"/>
              <w:keepLines w:val="0"/>
              <w:pageBreakBefore w:val="0"/>
              <w:widowControl w:val="0"/>
              <w:tabs>
                <w:tab w:val="left" w:pos="773"/>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授课符合课程主题需求，授课方式易于农民接受，教案内容通俗实用</w:t>
            </w:r>
            <w:r>
              <w:rPr>
                <w:rFonts w:hint="eastAsia" w:ascii="宋体" w:hAnsi="宋体" w:eastAsia="宋体" w:cs="宋体"/>
                <w:color w:val="auto"/>
                <w:spacing w:val="0"/>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符合得2分，不符合得0分。</w:t>
            </w:r>
          </w:p>
          <w:p w14:paraId="455DE426">
            <w:pPr>
              <w:keepNext w:val="0"/>
              <w:keepLines w:val="0"/>
              <w:pageBreakBefore w:val="0"/>
              <w:widowControl w:val="0"/>
              <w:tabs>
                <w:tab w:val="left" w:pos="773"/>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有相关专业授课背景的院校教师</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具备相应技术理论和实践能力的院校教师</w:t>
            </w:r>
            <w:r>
              <w:rPr>
                <w:rFonts w:hint="eastAsia" w:ascii="宋体" w:hAnsi="宋体" w:eastAsia="宋体" w:cs="宋体"/>
                <w:color w:val="auto"/>
                <w:spacing w:val="0"/>
                <w:sz w:val="24"/>
                <w:szCs w:val="24"/>
                <w:highlight w:val="none"/>
                <w:lang w:eastAsia="zh-CN"/>
              </w:rPr>
              <w:t>授课的，</w:t>
            </w:r>
            <w:r>
              <w:rPr>
                <w:rFonts w:hint="eastAsia" w:ascii="宋体" w:hAnsi="宋体" w:eastAsia="宋体" w:cs="宋体"/>
                <w:i w:val="0"/>
                <w:iCs w:val="0"/>
                <w:color w:val="auto"/>
                <w:kern w:val="0"/>
                <w:sz w:val="24"/>
                <w:szCs w:val="24"/>
                <w:highlight w:val="none"/>
                <w:u w:val="none"/>
                <w:lang w:val="en-US" w:eastAsia="zh-CN" w:bidi="ar"/>
              </w:rPr>
              <w:t>得2分，不符合得0分。</w:t>
            </w:r>
          </w:p>
          <w:p w14:paraId="5970C330">
            <w:pPr>
              <w:keepNext w:val="0"/>
              <w:keepLines w:val="0"/>
              <w:pageBreakBefore w:val="0"/>
              <w:widowControl w:val="0"/>
              <w:tabs>
                <w:tab w:val="left" w:pos="773"/>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科研推广机构专家、各类农业主体专业技术人员或“广东农村乡土专家”等讲授实践课程</w:t>
            </w:r>
            <w:r>
              <w:rPr>
                <w:rFonts w:hint="eastAsia" w:ascii="宋体" w:hAnsi="宋体" w:eastAsia="宋体" w:cs="宋体"/>
                <w:color w:val="auto"/>
                <w:spacing w:val="0"/>
                <w:sz w:val="24"/>
                <w:szCs w:val="24"/>
                <w:highlight w:val="none"/>
                <w:lang w:eastAsia="zh-CN"/>
              </w:rPr>
              <w:t>的，</w:t>
            </w:r>
            <w:r>
              <w:rPr>
                <w:rFonts w:hint="eastAsia" w:ascii="宋体" w:hAnsi="宋体" w:eastAsia="宋体" w:cs="宋体"/>
                <w:i w:val="0"/>
                <w:iCs w:val="0"/>
                <w:color w:val="auto"/>
                <w:kern w:val="0"/>
                <w:sz w:val="24"/>
                <w:szCs w:val="24"/>
                <w:highlight w:val="none"/>
                <w:u w:val="none"/>
                <w:lang w:val="en-US" w:eastAsia="zh-CN" w:bidi="ar"/>
              </w:rPr>
              <w:t xml:space="preserve">得2分，不符合得0分。  </w:t>
            </w:r>
          </w:p>
          <w:p w14:paraId="3980FE04">
            <w:pPr>
              <w:keepNext w:val="0"/>
              <w:keepLines w:val="0"/>
              <w:pageBreakBefore w:val="0"/>
              <w:widowControl w:val="0"/>
              <w:tabs>
                <w:tab w:val="left" w:pos="773"/>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4.优先选用农业农村部、教育部规划教材和各级农业农村部门推荐教材,得2分，不符合得0分。</w:t>
            </w:r>
          </w:p>
          <w:p w14:paraId="613A9FE3">
            <w:pPr>
              <w:keepNext w:val="0"/>
              <w:keepLines w:val="0"/>
              <w:pageBreakBefore w:val="0"/>
              <w:widowControl w:val="0"/>
              <w:tabs>
                <w:tab w:val="left" w:pos="773"/>
              </w:tabs>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等线" w:eastAsia="仿宋_GB2312" w:cs="Times New Roman"/>
                <w:sz w:val="32"/>
                <w:szCs w:val="22"/>
                <w:lang w:eastAsia="zh-CN"/>
              </w:rPr>
            </w:pPr>
            <w:r>
              <w:rPr>
                <w:rFonts w:hint="eastAsia" w:ascii="宋体" w:hAnsi="宋体" w:eastAsia="宋体" w:cs="宋体"/>
                <w:i w:val="0"/>
                <w:iCs w:val="0"/>
                <w:color w:val="auto"/>
                <w:kern w:val="0"/>
                <w:sz w:val="24"/>
                <w:szCs w:val="24"/>
                <w:highlight w:val="none"/>
                <w:u w:val="none"/>
                <w:lang w:val="en-US" w:eastAsia="zh-CN" w:bidi="ar"/>
              </w:rPr>
              <w:t>5.培育教材规范、先进、实用，文字教材和视频教材配合使用，符合得2分，不符合得0分。</w:t>
            </w:r>
          </w:p>
        </w:tc>
      </w:tr>
      <w:tr w14:paraId="6AB6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jc w:val="center"/>
        </w:trPr>
        <w:tc>
          <w:tcPr>
            <w:tcW w:w="409" w:type="pct"/>
            <w:vMerge w:val="restart"/>
            <w:noWrap w:val="0"/>
            <w:vAlign w:val="center"/>
          </w:tcPr>
          <w:p w14:paraId="0E70C8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技术部分</w:t>
            </w:r>
          </w:p>
        </w:tc>
        <w:tc>
          <w:tcPr>
            <w:tcW w:w="542" w:type="pct"/>
            <w:noWrap w:val="0"/>
            <w:vAlign w:val="center"/>
          </w:tcPr>
          <w:p w14:paraId="0B473A7B">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default"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课程设置 </w:t>
            </w:r>
          </w:p>
        </w:tc>
        <w:tc>
          <w:tcPr>
            <w:tcW w:w="278" w:type="pct"/>
            <w:noWrap w:val="0"/>
            <w:vAlign w:val="center"/>
          </w:tcPr>
          <w:p w14:paraId="16C0F26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15分</w:t>
            </w:r>
          </w:p>
        </w:tc>
        <w:tc>
          <w:tcPr>
            <w:tcW w:w="3770" w:type="pct"/>
            <w:noWrap w:val="0"/>
            <w:vAlign w:val="top"/>
          </w:tcPr>
          <w:p w14:paraId="6BDEB22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1.课堂教学设置有：线上与线下集中授课、实践教学、观摩交流、案例教学、参与式教学、互动式教学等形式。得5分，</w:t>
            </w:r>
            <w:r>
              <w:rPr>
                <w:rFonts w:hint="eastAsia" w:ascii="宋体" w:hAnsi="宋体" w:eastAsia="宋体" w:cs="宋体"/>
                <w:i w:val="0"/>
                <w:iCs w:val="0"/>
                <w:color w:val="auto"/>
                <w:kern w:val="0"/>
                <w:sz w:val="24"/>
                <w:szCs w:val="24"/>
                <w:highlight w:val="none"/>
                <w:u w:val="none"/>
                <w:lang w:val="en-US" w:eastAsia="zh-CN" w:bidi="ar"/>
              </w:rPr>
              <w:t>不符合得0分</w:t>
            </w:r>
            <w:r>
              <w:rPr>
                <w:rFonts w:hint="eastAsia" w:ascii="宋体" w:hAnsi="宋体" w:eastAsia="宋体" w:cs="宋体"/>
                <w:color w:val="auto"/>
                <w:kern w:val="2"/>
                <w:sz w:val="24"/>
                <w:szCs w:val="24"/>
                <w:highlight w:val="none"/>
                <w:lang w:val="en-US" w:eastAsia="zh-CN" w:bidi="ar-SA"/>
              </w:rPr>
              <w:t>。</w:t>
            </w:r>
          </w:p>
          <w:p w14:paraId="7B69DBA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2.实践教学在与课程内容直接相关的实习实训场所开展，包括场地实训、顶岗实习、跟岗见习、模拟教学、实践孵化等形式。符合得5分，</w:t>
            </w:r>
            <w:r>
              <w:rPr>
                <w:rFonts w:hint="eastAsia" w:ascii="宋体" w:hAnsi="宋体" w:eastAsia="宋体" w:cs="宋体"/>
                <w:i w:val="0"/>
                <w:iCs w:val="0"/>
                <w:color w:val="auto"/>
                <w:kern w:val="0"/>
                <w:sz w:val="24"/>
                <w:szCs w:val="24"/>
                <w:highlight w:val="none"/>
                <w:u w:val="none"/>
                <w:lang w:val="en-US" w:eastAsia="zh-CN" w:bidi="ar"/>
              </w:rPr>
              <w:t>不符合得0分</w:t>
            </w:r>
            <w:r>
              <w:rPr>
                <w:rFonts w:hint="eastAsia" w:ascii="宋体" w:hAnsi="宋体" w:eastAsia="宋体" w:cs="宋体"/>
                <w:color w:val="auto"/>
                <w:kern w:val="2"/>
                <w:sz w:val="24"/>
                <w:szCs w:val="24"/>
                <w:highlight w:val="none"/>
                <w:lang w:val="en-US" w:eastAsia="zh-CN" w:bidi="ar-SA"/>
              </w:rPr>
              <w:t>。</w:t>
            </w:r>
          </w:p>
          <w:p w14:paraId="71EAF1A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3.线上学习可采取网络直播或课件学习的方式，线上学习学时数不超过总学时数的15%。符合得3分，</w:t>
            </w:r>
            <w:r>
              <w:rPr>
                <w:rFonts w:hint="eastAsia" w:ascii="宋体" w:hAnsi="宋体" w:eastAsia="宋体" w:cs="宋体"/>
                <w:i w:val="0"/>
                <w:iCs w:val="0"/>
                <w:color w:val="auto"/>
                <w:kern w:val="0"/>
                <w:sz w:val="24"/>
                <w:szCs w:val="24"/>
                <w:highlight w:val="none"/>
                <w:u w:val="none"/>
                <w:lang w:val="en-US" w:eastAsia="zh-CN" w:bidi="ar"/>
              </w:rPr>
              <w:t>不符合得0分</w:t>
            </w:r>
            <w:r>
              <w:rPr>
                <w:rFonts w:hint="eastAsia" w:ascii="宋体" w:hAnsi="宋体" w:eastAsia="宋体" w:cs="宋体"/>
                <w:color w:val="auto"/>
                <w:kern w:val="2"/>
                <w:sz w:val="24"/>
                <w:szCs w:val="24"/>
                <w:highlight w:val="none"/>
                <w:lang w:val="en-US" w:eastAsia="zh-CN" w:bidi="ar-SA"/>
              </w:rPr>
              <w:t>。</w:t>
            </w:r>
          </w:p>
          <w:p w14:paraId="4187F22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left"/>
              <w:textAlignment w:val="baseline"/>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4.交流观摩应选取与培育主题相符的地点或主体开展，符合得2分，</w:t>
            </w:r>
            <w:r>
              <w:rPr>
                <w:rFonts w:hint="eastAsia" w:ascii="宋体" w:hAnsi="宋体" w:eastAsia="宋体" w:cs="宋体"/>
                <w:i w:val="0"/>
                <w:iCs w:val="0"/>
                <w:color w:val="auto"/>
                <w:kern w:val="0"/>
                <w:sz w:val="24"/>
                <w:szCs w:val="24"/>
                <w:highlight w:val="none"/>
                <w:u w:val="none"/>
                <w:lang w:val="en-US" w:eastAsia="zh-CN" w:bidi="ar"/>
              </w:rPr>
              <w:t>不符合得0分</w:t>
            </w:r>
            <w:r>
              <w:rPr>
                <w:rFonts w:hint="eastAsia" w:ascii="宋体" w:hAnsi="宋体" w:eastAsia="宋体" w:cs="宋体"/>
                <w:color w:val="auto"/>
                <w:kern w:val="2"/>
                <w:sz w:val="24"/>
                <w:szCs w:val="24"/>
                <w:highlight w:val="none"/>
                <w:lang w:val="en-US" w:eastAsia="zh-CN" w:bidi="ar-SA"/>
              </w:rPr>
              <w:t>。</w:t>
            </w:r>
          </w:p>
        </w:tc>
      </w:tr>
      <w:tr w14:paraId="444AF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jc w:val="center"/>
        </w:trPr>
        <w:tc>
          <w:tcPr>
            <w:tcW w:w="409" w:type="pct"/>
            <w:vMerge w:val="continue"/>
            <w:noWrap w:val="0"/>
            <w:vAlign w:val="center"/>
          </w:tcPr>
          <w:p w14:paraId="2F1690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0"/>
                <w:kern w:val="2"/>
                <w:sz w:val="24"/>
                <w:szCs w:val="24"/>
                <w:highlight w:val="none"/>
                <w:lang w:val="en-US" w:eastAsia="en-US" w:bidi="ar-SA"/>
              </w:rPr>
            </w:pPr>
          </w:p>
        </w:tc>
        <w:tc>
          <w:tcPr>
            <w:tcW w:w="542" w:type="pct"/>
            <w:noWrap w:val="0"/>
            <w:vAlign w:val="center"/>
          </w:tcPr>
          <w:p w14:paraId="05ABD40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综合管理</w:t>
            </w:r>
          </w:p>
        </w:tc>
        <w:tc>
          <w:tcPr>
            <w:tcW w:w="278" w:type="pct"/>
            <w:noWrap w:val="0"/>
            <w:vAlign w:val="center"/>
          </w:tcPr>
          <w:p w14:paraId="5DF5F0C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10分</w:t>
            </w:r>
          </w:p>
        </w:tc>
        <w:tc>
          <w:tcPr>
            <w:tcW w:w="3770" w:type="pct"/>
            <w:noWrap w:val="0"/>
            <w:vAlign w:val="top"/>
          </w:tcPr>
          <w:p w14:paraId="75C7D1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1.有培训班管理制度，</w:t>
            </w:r>
            <w:r>
              <w:rPr>
                <w:rFonts w:hint="eastAsia" w:ascii="宋体" w:hAnsi="宋体" w:eastAsia="宋体" w:cs="宋体"/>
                <w:color w:val="auto"/>
                <w:spacing w:val="0"/>
                <w:kern w:val="2"/>
                <w:sz w:val="24"/>
                <w:szCs w:val="24"/>
                <w:highlight w:val="none"/>
                <w:lang w:val="en-US" w:eastAsia="zh-CN" w:bidi="ar-SA"/>
              </w:rPr>
              <w:t>得2</w:t>
            </w:r>
            <w:r>
              <w:rPr>
                <w:rFonts w:hint="eastAsia" w:ascii="宋体" w:hAnsi="宋体" w:eastAsia="宋体" w:cs="宋体"/>
                <w:color w:val="auto"/>
                <w:spacing w:val="0"/>
                <w:kern w:val="2"/>
                <w:sz w:val="24"/>
                <w:szCs w:val="24"/>
                <w:highlight w:val="none"/>
                <w:lang w:val="en-US" w:eastAsia="en-US" w:bidi="ar-SA"/>
              </w:rPr>
              <w:t>分</w:t>
            </w:r>
            <w:r>
              <w:rPr>
                <w:rFonts w:hint="eastAsia" w:ascii="宋体" w:hAnsi="宋体" w:eastAsia="宋体" w:cs="宋体"/>
                <w:color w:val="auto"/>
                <w:spacing w:val="0"/>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未提供得0分。</w:t>
            </w:r>
          </w:p>
          <w:p w14:paraId="2C5F39E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2.有健全财务部门和财务管理制度，</w:t>
            </w:r>
            <w:r>
              <w:rPr>
                <w:rFonts w:hint="eastAsia" w:ascii="宋体" w:hAnsi="宋体" w:eastAsia="宋体" w:cs="宋体"/>
                <w:color w:val="auto"/>
                <w:spacing w:val="0"/>
                <w:kern w:val="2"/>
                <w:sz w:val="24"/>
                <w:szCs w:val="24"/>
                <w:highlight w:val="none"/>
                <w:lang w:val="en-US" w:eastAsia="zh-CN" w:bidi="ar-SA"/>
              </w:rPr>
              <w:t>得2</w:t>
            </w:r>
            <w:r>
              <w:rPr>
                <w:rFonts w:hint="eastAsia" w:ascii="宋体" w:hAnsi="宋体" w:eastAsia="宋体" w:cs="宋体"/>
                <w:color w:val="auto"/>
                <w:spacing w:val="0"/>
                <w:kern w:val="2"/>
                <w:sz w:val="24"/>
                <w:szCs w:val="24"/>
                <w:highlight w:val="none"/>
                <w:lang w:val="en-US" w:eastAsia="en-US" w:bidi="ar-SA"/>
              </w:rPr>
              <w:t>分</w:t>
            </w:r>
            <w:r>
              <w:rPr>
                <w:rFonts w:hint="eastAsia" w:ascii="宋体" w:hAnsi="宋体" w:eastAsia="宋体" w:cs="宋体"/>
                <w:color w:val="auto"/>
                <w:spacing w:val="0"/>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未提供得0分。</w:t>
            </w:r>
          </w:p>
          <w:p w14:paraId="6EC885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3.根据课程考核和考勤情况，综合评价学员学习成果，对完成学习任务的培育对象颁发结业证书。</w:t>
            </w:r>
            <w:r>
              <w:rPr>
                <w:rFonts w:hint="eastAsia" w:ascii="宋体" w:hAnsi="宋体" w:eastAsia="宋体" w:cs="宋体"/>
                <w:color w:val="auto"/>
                <w:spacing w:val="0"/>
                <w:kern w:val="2"/>
                <w:sz w:val="24"/>
                <w:szCs w:val="24"/>
                <w:highlight w:val="none"/>
                <w:lang w:val="en-US" w:eastAsia="zh-CN" w:bidi="ar-SA"/>
              </w:rPr>
              <w:t>得2</w:t>
            </w:r>
            <w:r>
              <w:rPr>
                <w:rFonts w:hint="eastAsia" w:ascii="宋体" w:hAnsi="宋体" w:eastAsia="宋体" w:cs="宋体"/>
                <w:color w:val="auto"/>
                <w:spacing w:val="0"/>
                <w:kern w:val="2"/>
                <w:sz w:val="24"/>
                <w:szCs w:val="24"/>
                <w:highlight w:val="none"/>
                <w:lang w:val="en-US" w:eastAsia="en-US" w:bidi="ar-SA"/>
              </w:rPr>
              <w:t>分</w:t>
            </w:r>
            <w:r>
              <w:rPr>
                <w:rFonts w:hint="eastAsia" w:ascii="宋体" w:hAnsi="宋体" w:eastAsia="宋体" w:cs="宋体"/>
                <w:color w:val="auto"/>
                <w:spacing w:val="0"/>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未提供得0分。     </w:t>
            </w:r>
          </w:p>
          <w:p w14:paraId="635D221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4.建立信息档案管理，配备有专职的信息管理员负责信息管理平台的使用和管理，</w:t>
            </w:r>
            <w:r>
              <w:rPr>
                <w:rFonts w:hint="eastAsia" w:ascii="宋体" w:hAnsi="宋体" w:eastAsia="宋体" w:cs="宋体"/>
                <w:color w:val="auto"/>
                <w:spacing w:val="0"/>
                <w:kern w:val="2"/>
                <w:sz w:val="24"/>
                <w:szCs w:val="24"/>
                <w:highlight w:val="none"/>
                <w:lang w:val="en-US" w:eastAsia="zh-CN" w:bidi="ar-SA"/>
              </w:rPr>
              <w:t>得2</w:t>
            </w:r>
            <w:r>
              <w:rPr>
                <w:rFonts w:hint="eastAsia" w:ascii="宋体" w:hAnsi="宋体" w:eastAsia="宋体" w:cs="宋体"/>
                <w:color w:val="auto"/>
                <w:spacing w:val="0"/>
                <w:kern w:val="2"/>
                <w:sz w:val="24"/>
                <w:szCs w:val="24"/>
                <w:highlight w:val="none"/>
                <w:lang w:val="en-US" w:eastAsia="en-US" w:bidi="ar-SA"/>
              </w:rPr>
              <w:t>分</w:t>
            </w:r>
            <w:r>
              <w:rPr>
                <w:rFonts w:hint="eastAsia" w:ascii="宋体" w:hAnsi="宋体" w:eastAsia="宋体" w:cs="宋体"/>
                <w:color w:val="auto"/>
                <w:spacing w:val="0"/>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未提供得0分。</w:t>
            </w:r>
          </w:p>
          <w:p w14:paraId="173D886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5.建立培育档案，包括开班计划、培育对象信息、课程及考核结果记录、资金支出票据及复印件、结业证书发放情况和其他必要培育信息。培育档案至少保存5年。</w:t>
            </w:r>
            <w:r>
              <w:rPr>
                <w:rFonts w:hint="eastAsia" w:ascii="宋体" w:hAnsi="宋体" w:eastAsia="宋体" w:cs="宋体"/>
                <w:color w:val="auto"/>
                <w:spacing w:val="0"/>
                <w:kern w:val="2"/>
                <w:sz w:val="24"/>
                <w:szCs w:val="24"/>
                <w:highlight w:val="none"/>
                <w:lang w:val="en-US" w:eastAsia="zh-CN" w:bidi="ar-SA"/>
              </w:rPr>
              <w:t>得2</w:t>
            </w:r>
            <w:r>
              <w:rPr>
                <w:rFonts w:hint="eastAsia" w:ascii="宋体" w:hAnsi="宋体" w:eastAsia="宋体" w:cs="宋体"/>
                <w:color w:val="auto"/>
                <w:spacing w:val="0"/>
                <w:kern w:val="2"/>
                <w:sz w:val="24"/>
                <w:szCs w:val="24"/>
                <w:highlight w:val="none"/>
                <w:lang w:val="en-US" w:eastAsia="en-US" w:bidi="ar-SA"/>
              </w:rPr>
              <w:t>分</w:t>
            </w:r>
            <w:r>
              <w:rPr>
                <w:rFonts w:hint="eastAsia" w:ascii="宋体" w:hAnsi="宋体" w:eastAsia="宋体" w:cs="宋体"/>
                <w:color w:val="auto"/>
                <w:spacing w:val="0"/>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未提供得0分。</w:t>
            </w:r>
          </w:p>
        </w:tc>
      </w:tr>
      <w:tr w14:paraId="59601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jc w:val="center"/>
        </w:trPr>
        <w:tc>
          <w:tcPr>
            <w:tcW w:w="409" w:type="pct"/>
            <w:vMerge w:val="continue"/>
            <w:noWrap w:val="0"/>
            <w:vAlign w:val="center"/>
          </w:tcPr>
          <w:p w14:paraId="6BD89A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0"/>
                <w:kern w:val="2"/>
                <w:sz w:val="24"/>
                <w:szCs w:val="24"/>
                <w:highlight w:val="none"/>
                <w:lang w:val="en-US" w:eastAsia="en-US" w:bidi="ar-SA"/>
              </w:rPr>
            </w:pPr>
          </w:p>
        </w:tc>
        <w:tc>
          <w:tcPr>
            <w:tcW w:w="542" w:type="pct"/>
            <w:noWrap w:val="0"/>
            <w:vAlign w:val="center"/>
          </w:tcPr>
          <w:p w14:paraId="726750A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跟踪管理</w:t>
            </w:r>
          </w:p>
        </w:tc>
        <w:tc>
          <w:tcPr>
            <w:tcW w:w="278" w:type="pct"/>
            <w:noWrap w:val="0"/>
            <w:vAlign w:val="center"/>
          </w:tcPr>
          <w:p w14:paraId="7D61C40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15分</w:t>
            </w:r>
          </w:p>
        </w:tc>
        <w:tc>
          <w:tcPr>
            <w:tcW w:w="3770" w:type="pct"/>
            <w:noWrap w:val="0"/>
            <w:vAlign w:val="top"/>
          </w:tcPr>
          <w:p w14:paraId="19E50BA5">
            <w:pPr>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1.有培训后的后续跟踪服务措施或方案，</w:t>
            </w:r>
            <w:r>
              <w:rPr>
                <w:rFonts w:hint="eastAsia" w:ascii="宋体" w:hAnsi="宋体" w:eastAsia="宋体" w:cs="宋体"/>
                <w:color w:val="auto"/>
                <w:spacing w:val="0"/>
                <w:kern w:val="2"/>
                <w:sz w:val="24"/>
                <w:szCs w:val="24"/>
                <w:highlight w:val="none"/>
                <w:lang w:val="en-US" w:eastAsia="zh-CN" w:bidi="ar-SA"/>
              </w:rPr>
              <w:t>得5</w:t>
            </w:r>
            <w:r>
              <w:rPr>
                <w:rFonts w:hint="eastAsia" w:ascii="宋体" w:hAnsi="宋体" w:eastAsia="宋体" w:cs="宋体"/>
                <w:color w:val="auto"/>
                <w:spacing w:val="0"/>
                <w:kern w:val="2"/>
                <w:sz w:val="24"/>
                <w:szCs w:val="24"/>
                <w:highlight w:val="none"/>
                <w:lang w:val="en-US" w:eastAsia="en-US" w:bidi="ar-SA"/>
              </w:rPr>
              <w:t>分</w:t>
            </w:r>
            <w:r>
              <w:rPr>
                <w:rFonts w:hint="eastAsia" w:ascii="宋体" w:hAnsi="宋体" w:eastAsia="宋体" w:cs="宋体"/>
                <w:color w:val="auto"/>
                <w:spacing w:val="0"/>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未提供得0分。</w:t>
            </w:r>
          </w:p>
          <w:p w14:paraId="032B4F0F">
            <w:pPr>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2.跟踪服务时长为：一年内次数不少于2次。</w:t>
            </w:r>
            <w:r>
              <w:rPr>
                <w:rFonts w:hint="eastAsia" w:ascii="宋体" w:hAnsi="宋体" w:eastAsia="宋体" w:cs="宋体"/>
                <w:color w:val="auto"/>
                <w:spacing w:val="0"/>
                <w:kern w:val="2"/>
                <w:sz w:val="24"/>
                <w:szCs w:val="24"/>
                <w:highlight w:val="none"/>
                <w:lang w:val="en-US" w:eastAsia="zh-CN" w:bidi="ar-SA"/>
              </w:rPr>
              <w:t>得5，</w:t>
            </w:r>
            <w:r>
              <w:rPr>
                <w:rFonts w:hint="eastAsia" w:ascii="宋体" w:hAnsi="宋体" w:eastAsia="宋体" w:cs="宋体"/>
                <w:color w:val="auto"/>
                <w:kern w:val="2"/>
                <w:sz w:val="24"/>
                <w:szCs w:val="24"/>
                <w:highlight w:val="none"/>
                <w:lang w:val="en-US" w:eastAsia="zh-CN" w:bidi="ar-SA"/>
              </w:rPr>
              <w:t>未提供得0分。</w:t>
            </w:r>
          </w:p>
          <w:p w14:paraId="006FAB8B">
            <w:pPr>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firstLine="480" w:firstLineChars="200"/>
              <w:jc w:val="left"/>
              <w:textAlignment w:val="baseline"/>
              <w:rPr>
                <w:rFonts w:hint="eastAsia" w:ascii="宋体" w:hAnsi="宋体" w:eastAsia="宋体" w:cs="宋体"/>
                <w:color w:val="auto"/>
                <w:spacing w:val="0"/>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zh-CN" w:bidi="ar-SA"/>
              </w:rPr>
              <w:t>3.跟踪服务人数不少于培育班总人数的30%，</w:t>
            </w:r>
            <w:r>
              <w:rPr>
                <w:rFonts w:hint="eastAsia" w:ascii="宋体" w:hAnsi="宋体" w:eastAsia="宋体" w:cs="宋体"/>
                <w:color w:val="auto"/>
                <w:spacing w:val="0"/>
                <w:kern w:val="2"/>
                <w:sz w:val="24"/>
                <w:szCs w:val="24"/>
                <w:highlight w:val="none"/>
                <w:lang w:val="en-US" w:eastAsia="zh-CN" w:bidi="ar-SA"/>
              </w:rPr>
              <w:t>得5</w:t>
            </w:r>
            <w:r>
              <w:rPr>
                <w:rFonts w:hint="eastAsia" w:ascii="宋体" w:hAnsi="宋体" w:eastAsia="宋体" w:cs="宋体"/>
                <w:color w:val="auto"/>
                <w:spacing w:val="0"/>
                <w:kern w:val="2"/>
                <w:sz w:val="24"/>
                <w:szCs w:val="24"/>
                <w:highlight w:val="none"/>
                <w:lang w:val="en-US" w:eastAsia="en-US" w:bidi="ar-SA"/>
              </w:rPr>
              <w:t>分</w:t>
            </w:r>
            <w:r>
              <w:rPr>
                <w:rFonts w:hint="eastAsia" w:ascii="宋体" w:hAnsi="宋体" w:eastAsia="宋体" w:cs="宋体"/>
                <w:color w:val="auto"/>
                <w:spacing w:val="0"/>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未提供得0分。</w:t>
            </w:r>
          </w:p>
        </w:tc>
      </w:tr>
    </w:tbl>
    <w:p w14:paraId="48354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5A1A0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7D9109C5"/>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A2E6DA-07FF-4BCE-8CFA-AA840EE7CE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12A763-6B58-4054-8780-750DD4225E4F}"/>
  </w:font>
  <w:font w:name="方正小标宋简体">
    <w:panose1 w:val="03000509000000000000"/>
    <w:charset w:val="86"/>
    <w:family w:val="auto"/>
    <w:pitch w:val="default"/>
    <w:sig w:usb0="00000001" w:usb1="080E0000" w:usb2="00000000" w:usb3="00000000" w:csb0="00040000" w:csb1="00000000"/>
    <w:embedRegular r:id="rId3" w:fontKey="{8E23549A-45F9-4E9F-9C39-93805B9608BD}"/>
  </w:font>
  <w:font w:name="仿宋_GB2312">
    <w:panose1 w:val="02010609030101010101"/>
    <w:charset w:val="86"/>
    <w:family w:val="modern"/>
    <w:pitch w:val="default"/>
    <w:sig w:usb0="00000001" w:usb1="080E0000" w:usb2="00000000" w:usb3="00000000" w:csb0="00040000" w:csb1="00000000"/>
    <w:embedRegular r:id="rId4" w:fontKey="{BE3D611B-3780-419C-ABE4-B1DC3CFEAD38}"/>
  </w:font>
  <w:font w:name="微软雅黑">
    <w:panose1 w:val="020B0503020204020204"/>
    <w:charset w:val="86"/>
    <w:family w:val="auto"/>
    <w:pitch w:val="default"/>
    <w:sig w:usb0="80000287" w:usb1="2ACF3C50" w:usb2="00000016" w:usb3="00000000" w:csb0="0004001F" w:csb1="00000000"/>
    <w:embedRegular r:id="rId5" w:fontKey="{BD659A79-F3C6-47B6-8793-E5FFD24B9F3A}"/>
  </w:font>
  <w:font w:name="等线">
    <w:panose1 w:val="02010600030101010101"/>
    <w:charset w:val="86"/>
    <w:family w:val="auto"/>
    <w:pitch w:val="default"/>
    <w:sig w:usb0="A00002BF" w:usb1="38CF7CFA" w:usb2="00000016" w:usb3="00000000" w:csb0="0004000F" w:csb1="00000000"/>
    <w:embedRegular r:id="rId6" w:fontKey="{4E9D3ADD-69E1-44B1-AFE5-750D0B81D13D}"/>
  </w:font>
  <w:font w:name="方正仿宋_GB2312">
    <w:panose1 w:val="02000000000000000000"/>
    <w:charset w:val="86"/>
    <w:family w:val="auto"/>
    <w:pitch w:val="default"/>
    <w:sig w:usb0="A00002BF" w:usb1="184F6CFA" w:usb2="00000012" w:usb3="00000000" w:csb0="00040001" w:csb1="00000000"/>
    <w:embedRegular r:id="rId7" w:fontKey="{AAFC9F73-6B1C-45F3-94FD-E8A8C8545D19}"/>
  </w:font>
  <w:font w:name="楷体_GB2312">
    <w:panose1 w:val="02010609030101010101"/>
    <w:charset w:val="86"/>
    <w:family w:val="auto"/>
    <w:pitch w:val="default"/>
    <w:sig w:usb0="00000001" w:usb1="080E0000" w:usb2="00000000" w:usb3="00000000" w:csb0="00040000" w:csb1="00000000"/>
    <w:embedRegular r:id="rId8" w:fontKey="{3BB32070-0592-49E6-B530-2616EFCE34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6F814E"/>
    <w:rsid w:val="364C42A8"/>
    <w:rsid w:val="4BEC62A0"/>
    <w:rsid w:val="5919023C"/>
    <w:rsid w:val="64261B8A"/>
    <w:rsid w:val="6D4861DB"/>
    <w:rsid w:val="7B2A1305"/>
    <w:rsid w:val="7F1D5E39"/>
    <w:rsid w:val="BB6F81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2257</Words>
  <Characters>2359</Characters>
  <Lines>0</Lines>
  <Paragraphs>0</Paragraphs>
  <TotalTime>23</TotalTime>
  <ScaleCrop>false</ScaleCrop>
  <LinksUpToDate>false</LinksUpToDate>
  <CharactersWithSpaces>2378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2025-09-22T16:24:00Z</dcterms:created>
  <dc:creator>greatwall</dc:creator>
  <cp:lastModifiedBy>陈孝才</cp:lastModifiedBy>
  <cp:lastPrinted>2025-10-12T07:42:00Z</cp:lastPrinted>
  <dcterms:modified xsi:type="dcterms:W3CDTF">2025-10-12T08:17:04Z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B52A5DDA12034696B06375AA52CB326D_13</vt:lpwstr>
  </property>
  <property fmtid="{D5CDD505-2E9C-101B-9397-08002B2CF9AE}" pid="4" name="KSOTemplateDocerSaveRecord">
    <vt:lpwstr>eyJoZGlkIjoiZTQzZDJmYzk0Y2U2ZjA3MTlkNzZiZGY2ZGE0NDdmNjYiLCJ1c2VySWQiOiIzMTM1MzI4OTEifQ==</vt:lpwstr>
  </property>
</Properties>
</file>