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BB980" w14:textId="77777777" w:rsidR="00031244" w:rsidRDefault="00824F03">
      <w:pPr>
        <w:spacing w:line="560" w:lineRule="exact"/>
        <w:jc w:val="left"/>
        <w:rPr>
          <w:rFonts w:ascii="黑体" w:eastAsia="黑体" w:hAnsi="黑体" w:cs="宋体"/>
          <w:color w:val="4C5157"/>
          <w:sz w:val="32"/>
          <w:szCs w:val="32"/>
          <w:shd w:val="clear" w:color="auto" w:fill="FFFFFF"/>
        </w:rPr>
      </w:pPr>
      <w:r>
        <w:rPr>
          <w:rFonts w:ascii="黑体" w:eastAsia="黑体" w:hAnsi="黑体" w:cs="宋体" w:hint="eastAsia"/>
          <w:color w:val="4C5157"/>
          <w:sz w:val="32"/>
          <w:szCs w:val="32"/>
          <w:shd w:val="clear" w:color="auto" w:fill="FFFFFF"/>
        </w:rPr>
        <w:t>附件</w:t>
      </w:r>
      <w:r>
        <w:rPr>
          <w:rFonts w:ascii="黑体" w:eastAsia="黑体" w:hAnsi="黑体" w:cs="宋体" w:hint="eastAsia"/>
          <w:color w:val="4C5157"/>
          <w:sz w:val="32"/>
          <w:szCs w:val="32"/>
          <w:shd w:val="clear" w:color="auto" w:fill="FFFFFF"/>
        </w:rPr>
        <w:t>2</w:t>
      </w:r>
    </w:p>
    <w:p w14:paraId="791EE177" w14:textId="77777777" w:rsidR="00824F03" w:rsidRDefault="00824F03">
      <w:pPr>
        <w:spacing w:line="560" w:lineRule="exact"/>
        <w:jc w:val="center"/>
        <w:rPr>
          <w:rFonts w:ascii="方正小标宋简体" w:eastAsia="方正小标宋简体" w:hAnsi="仿宋" w:cs="宋体" w:hint="eastAsia"/>
          <w:color w:val="4C5157"/>
          <w:sz w:val="32"/>
          <w:szCs w:val="32"/>
          <w:shd w:val="clear" w:color="auto" w:fill="FFFFFF"/>
        </w:rPr>
      </w:pPr>
    </w:p>
    <w:p w14:paraId="5604EFDD" w14:textId="77777777" w:rsidR="00031244" w:rsidRDefault="00824F03">
      <w:pPr>
        <w:spacing w:line="560" w:lineRule="exact"/>
        <w:jc w:val="center"/>
        <w:rPr>
          <w:rFonts w:ascii="方正小标宋简体" w:eastAsia="方正小标宋简体" w:hAnsi="仿宋" w:cs="宋体"/>
          <w:color w:val="4C5157"/>
          <w:sz w:val="32"/>
          <w:szCs w:val="32"/>
          <w:shd w:val="clear" w:color="auto" w:fill="FFFFFF"/>
        </w:rPr>
      </w:pPr>
      <w:bookmarkStart w:id="0" w:name="_GoBack"/>
      <w:r>
        <w:rPr>
          <w:rFonts w:ascii="方正小标宋简体" w:eastAsia="方正小标宋简体" w:hAnsi="仿宋" w:cs="宋体" w:hint="eastAsia"/>
          <w:color w:val="4C5157"/>
          <w:sz w:val="32"/>
          <w:szCs w:val="32"/>
          <w:shd w:val="clear" w:color="auto" w:fill="FFFFFF"/>
        </w:rPr>
        <w:t>开平市</w:t>
      </w:r>
      <w:r>
        <w:rPr>
          <w:rFonts w:ascii="方正小标宋简体" w:eastAsia="方正小标宋简体" w:hAnsi="仿宋" w:cs="宋体" w:hint="eastAsia"/>
          <w:color w:val="4C5157"/>
          <w:sz w:val="32"/>
          <w:szCs w:val="32"/>
          <w:shd w:val="clear" w:color="auto" w:fill="FFFFFF"/>
        </w:rPr>
        <w:t>2025</w:t>
      </w:r>
      <w:r>
        <w:rPr>
          <w:rFonts w:ascii="方正小标宋简体" w:eastAsia="方正小标宋简体" w:hAnsi="仿宋" w:cs="宋体" w:hint="eastAsia"/>
          <w:color w:val="4C5157"/>
          <w:sz w:val="32"/>
          <w:szCs w:val="32"/>
          <w:shd w:val="clear" w:color="auto" w:fill="FFFFFF"/>
        </w:rPr>
        <w:t>年度农村纯二女结扎户计划生育家庭意外伤害保险采购服务单位公开遴选综合评审评分表</w:t>
      </w:r>
    </w:p>
    <w:bookmarkEnd w:id="0"/>
    <w:p w14:paraId="4378969E" w14:textId="77777777" w:rsidR="00031244" w:rsidRDefault="00824F03">
      <w:pPr>
        <w:spacing w:line="560" w:lineRule="exact"/>
        <w:jc w:val="left"/>
        <w:rPr>
          <w:rFonts w:ascii="仿宋" w:eastAsia="仿宋" w:hAnsi="仿宋" w:cs="宋体"/>
          <w:b/>
          <w:color w:val="4C5157"/>
          <w:sz w:val="30"/>
          <w:szCs w:val="30"/>
          <w:shd w:val="clear" w:color="auto" w:fill="FFFFFF"/>
        </w:rPr>
      </w:pPr>
      <w:r>
        <w:rPr>
          <w:rFonts w:ascii="仿宋" w:eastAsia="仿宋" w:hAnsi="仿宋" w:cs="宋体" w:hint="eastAsia"/>
          <w:b/>
          <w:color w:val="4C5157"/>
          <w:sz w:val="30"/>
          <w:szCs w:val="30"/>
          <w:shd w:val="clear" w:color="auto" w:fill="FFFFFF"/>
        </w:rPr>
        <w:t>评分人：</w:t>
      </w:r>
      <w:r>
        <w:rPr>
          <w:rFonts w:ascii="仿宋" w:eastAsia="仿宋" w:hAnsi="仿宋" w:cs="宋体" w:hint="eastAsia"/>
          <w:b/>
          <w:color w:val="4C5157"/>
          <w:sz w:val="30"/>
          <w:szCs w:val="30"/>
          <w:shd w:val="clear" w:color="auto" w:fill="FFFFFF"/>
        </w:rPr>
        <w:t xml:space="preserve">                            </w:t>
      </w:r>
      <w:r>
        <w:rPr>
          <w:rFonts w:ascii="仿宋" w:eastAsia="仿宋" w:hAnsi="仿宋" w:cs="宋体" w:hint="eastAsia"/>
          <w:b/>
          <w:color w:val="4C5157"/>
          <w:sz w:val="30"/>
          <w:szCs w:val="30"/>
          <w:shd w:val="clear" w:color="auto" w:fill="FFFFFF"/>
        </w:rPr>
        <w:t>日期：</w:t>
      </w:r>
      <w:r>
        <w:rPr>
          <w:rFonts w:ascii="仿宋" w:eastAsia="仿宋" w:hAnsi="仿宋" w:cs="宋体" w:hint="eastAsia"/>
          <w:b/>
          <w:color w:val="4C5157"/>
          <w:sz w:val="30"/>
          <w:szCs w:val="30"/>
          <w:shd w:val="clear" w:color="auto" w:fill="FFFFFF"/>
        </w:rPr>
        <w:t xml:space="preserve">   </w:t>
      </w:r>
      <w:r>
        <w:rPr>
          <w:rFonts w:ascii="仿宋" w:eastAsia="仿宋" w:hAnsi="仿宋" w:cs="宋体" w:hint="eastAsia"/>
          <w:b/>
          <w:color w:val="4C5157"/>
          <w:sz w:val="30"/>
          <w:szCs w:val="30"/>
          <w:shd w:val="clear" w:color="auto" w:fill="FFFFFF"/>
        </w:rPr>
        <w:t>年</w:t>
      </w:r>
      <w:r>
        <w:rPr>
          <w:rFonts w:ascii="仿宋" w:eastAsia="仿宋" w:hAnsi="仿宋" w:cs="宋体" w:hint="eastAsia"/>
          <w:b/>
          <w:color w:val="4C5157"/>
          <w:sz w:val="30"/>
          <w:szCs w:val="30"/>
          <w:shd w:val="clear" w:color="auto" w:fill="FFFFFF"/>
        </w:rPr>
        <w:t xml:space="preserve">   </w:t>
      </w:r>
      <w:r>
        <w:rPr>
          <w:rFonts w:ascii="仿宋" w:eastAsia="仿宋" w:hAnsi="仿宋" w:cs="宋体" w:hint="eastAsia"/>
          <w:b/>
          <w:color w:val="4C5157"/>
          <w:sz w:val="30"/>
          <w:szCs w:val="30"/>
          <w:shd w:val="clear" w:color="auto" w:fill="FFFFFF"/>
        </w:rPr>
        <w:t>月</w:t>
      </w:r>
      <w:r>
        <w:rPr>
          <w:rFonts w:ascii="仿宋" w:eastAsia="仿宋" w:hAnsi="仿宋" w:cs="宋体" w:hint="eastAsia"/>
          <w:b/>
          <w:color w:val="4C5157"/>
          <w:sz w:val="30"/>
          <w:szCs w:val="30"/>
          <w:shd w:val="clear" w:color="auto" w:fill="FFFFFF"/>
        </w:rPr>
        <w:t xml:space="preserve">   </w:t>
      </w:r>
      <w:r>
        <w:rPr>
          <w:rFonts w:ascii="仿宋" w:eastAsia="仿宋" w:hAnsi="仿宋" w:cs="宋体" w:hint="eastAsia"/>
          <w:b/>
          <w:color w:val="4C5157"/>
          <w:sz w:val="30"/>
          <w:szCs w:val="30"/>
          <w:shd w:val="clear" w:color="auto" w:fill="FFFFFF"/>
        </w:rPr>
        <w:t>日</w:t>
      </w:r>
    </w:p>
    <w:tbl>
      <w:tblPr>
        <w:tblStyle w:val="a7"/>
        <w:tblW w:w="8874" w:type="dxa"/>
        <w:tblLayout w:type="fixed"/>
        <w:tblLook w:val="04A0" w:firstRow="1" w:lastRow="0" w:firstColumn="1" w:lastColumn="0" w:noHBand="0" w:noVBand="1"/>
      </w:tblPr>
      <w:tblGrid>
        <w:gridCol w:w="534"/>
        <w:gridCol w:w="1275"/>
        <w:gridCol w:w="709"/>
        <w:gridCol w:w="3900"/>
        <w:gridCol w:w="818"/>
        <w:gridCol w:w="818"/>
        <w:gridCol w:w="820"/>
      </w:tblGrid>
      <w:tr w:rsidR="00031244" w14:paraId="355EEF43" w14:textId="77777777">
        <w:trPr>
          <w:trHeight w:val="472"/>
        </w:trPr>
        <w:tc>
          <w:tcPr>
            <w:tcW w:w="534" w:type="dxa"/>
            <w:vMerge w:val="restart"/>
            <w:vAlign w:val="center"/>
          </w:tcPr>
          <w:p w14:paraId="17752FD2" w14:textId="77777777" w:rsidR="00031244" w:rsidRDefault="00824F03">
            <w:pPr>
              <w:spacing w:line="560" w:lineRule="exact"/>
              <w:jc w:val="center"/>
              <w:rPr>
                <w:rFonts w:ascii="仿宋" w:eastAsia="仿宋" w:hAnsi="仿宋" w:cs="宋体"/>
                <w:b/>
                <w:color w:val="4C5157"/>
                <w:sz w:val="24"/>
                <w:shd w:val="clear" w:color="auto" w:fill="FFFFFF"/>
              </w:rPr>
            </w:pPr>
            <w:r>
              <w:rPr>
                <w:rFonts w:ascii="仿宋" w:eastAsia="仿宋" w:hAnsi="仿宋" w:cs="宋体" w:hint="eastAsia"/>
                <w:b/>
                <w:color w:val="4C5157"/>
                <w:sz w:val="24"/>
                <w:shd w:val="clear" w:color="auto" w:fill="FFFFFF"/>
              </w:rPr>
              <w:t>序号</w:t>
            </w:r>
          </w:p>
        </w:tc>
        <w:tc>
          <w:tcPr>
            <w:tcW w:w="1275" w:type="dxa"/>
            <w:vMerge w:val="restart"/>
            <w:vAlign w:val="center"/>
          </w:tcPr>
          <w:p w14:paraId="169A9D61" w14:textId="77777777" w:rsidR="00031244" w:rsidRDefault="00824F03">
            <w:pPr>
              <w:spacing w:line="560" w:lineRule="exact"/>
              <w:jc w:val="center"/>
              <w:rPr>
                <w:rFonts w:ascii="仿宋" w:eastAsia="仿宋" w:hAnsi="仿宋" w:cs="宋体"/>
                <w:b/>
                <w:color w:val="4C5157"/>
                <w:sz w:val="24"/>
                <w:shd w:val="clear" w:color="auto" w:fill="FFFFFF"/>
              </w:rPr>
            </w:pPr>
            <w:r>
              <w:rPr>
                <w:rFonts w:ascii="仿宋" w:eastAsia="仿宋" w:hAnsi="仿宋" w:cs="宋体" w:hint="eastAsia"/>
                <w:b/>
                <w:color w:val="4C5157"/>
                <w:sz w:val="24"/>
                <w:shd w:val="clear" w:color="auto" w:fill="FFFFFF"/>
              </w:rPr>
              <w:t>评审要素</w:t>
            </w:r>
          </w:p>
        </w:tc>
        <w:tc>
          <w:tcPr>
            <w:tcW w:w="709" w:type="dxa"/>
            <w:vMerge w:val="restart"/>
            <w:vAlign w:val="center"/>
          </w:tcPr>
          <w:p w14:paraId="21BF5C5C" w14:textId="77777777" w:rsidR="00031244" w:rsidRDefault="00824F03">
            <w:pPr>
              <w:spacing w:line="560" w:lineRule="exact"/>
              <w:jc w:val="center"/>
              <w:rPr>
                <w:rFonts w:ascii="仿宋" w:eastAsia="仿宋" w:hAnsi="仿宋" w:cs="宋体"/>
                <w:b/>
                <w:color w:val="4C5157"/>
                <w:sz w:val="24"/>
                <w:shd w:val="clear" w:color="auto" w:fill="FFFFFF"/>
              </w:rPr>
            </w:pPr>
            <w:r>
              <w:rPr>
                <w:rFonts w:ascii="仿宋" w:eastAsia="仿宋" w:hAnsi="仿宋" w:cs="宋体" w:hint="eastAsia"/>
                <w:b/>
                <w:color w:val="4C5157"/>
                <w:sz w:val="24"/>
                <w:shd w:val="clear" w:color="auto" w:fill="FFFFFF"/>
              </w:rPr>
              <w:t>分值</w:t>
            </w:r>
          </w:p>
        </w:tc>
        <w:tc>
          <w:tcPr>
            <w:tcW w:w="3900" w:type="dxa"/>
            <w:vMerge w:val="restart"/>
            <w:vAlign w:val="center"/>
          </w:tcPr>
          <w:p w14:paraId="65B5C8F6" w14:textId="77777777" w:rsidR="00031244" w:rsidRDefault="00824F03">
            <w:pPr>
              <w:spacing w:line="560" w:lineRule="exact"/>
              <w:jc w:val="center"/>
              <w:rPr>
                <w:rFonts w:ascii="仿宋" w:eastAsia="仿宋" w:hAnsi="仿宋" w:cs="宋体"/>
                <w:b/>
                <w:color w:val="4C5157"/>
                <w:sz w:val="24"/>
                <w:shd w:val="clear" w:color="auto" w:fill="FFFFFF"/>
              </w:rPr>
            </w:pPr>
            <w:r>
              <w:rPr>
                <w:rFonts w:ascii="仿宋" w:eastAsia="仿宋" w:hAnsi="仿宋" w:cs="宋体" w:hint="eastAsia"/>
                <w:b/>
                <w:color w:val="4C5157"/>
                <w:sz w:val="24"/>
                <w:shd w:val="clear" w:color="auto" w:fill="FFFFFF"/>
              </w:rPr>
              <w:t>评分细则</w:t>
            </w:r>
          </w:p>
        </w:tc>
        <w:tc>
          <w:tcPr>
            <w:tcW w:w="2456" w:type="dxa"/>
            <w:gridSpan w:val="3"/>
            <w:vAlign w:val="center"/>
          </w:tcPr>
          <w:p w14:paraId="07409A06" w14:textId="77777777" w:rsidR="00031244" w:rsidRDefault="00824F03">
            <w:pPr>
              <w:spacing w:line="560" w:lineRule="exact"/>
              <w:jc w:val="center"/>
              <w:rPr>
                <w:rFonts w:ascii="仿宋" w:eastAsia="仿宋" w:hAnsi="仿宋" w:cs="宋体"/>
                <w:b/>
                <w:sz w:val="24"/>
              </w:rPr>
            </w:pPr>
            <w:r>
              <w:rPr>
                <w:rFonts w:ascii="仿宋" w:eastAsia="仿宋" w:hAnsi="仿宋" w:cs="宋体" w:hint="eastAsia"/>
                <w:b/>
                <w:sz w:val="24"/>
              </w:rPr>
              <w:t>报价单位和得分</w:t>
            </w:r>
          </w:p>
        </w:tc>
      </w:tr>
      <w:tr w:rsidR="00031244" w14:paraId="0F597854" w14:textId="77777777">
        <w:trPr>
          <w:trHeight w:val="563"/>
        </w:trPr>
        <w:tc>
          <w:tcPr>
            <w:tcW w:w="534" w:type="dxa"/>
            <w:vMerge/>
            <w:vAlign w:val="center"/>
          </w:tcPr>
          <w:p w14:paraId="414552CC" w14:textId="77777777" w:rsidR="00031244" w:rsidRDefault="00031244">
            <w:pPr>
              <w:spacing w:line="560" w:lineRule="exact"/>
              <w:jc w:val="center"/>
              <w:rPr>
                <w:rFonts w:ascii="仿宋" w:eastAsia="仿宋" w:hAnsi="仿宋" w:cs="宋体"/>
                <w:b/>
                <w:color w:val="4C5157"/>
                <w:sz w:val="24"/>
                <w:shd w:val="clear" w:color="auto" w:fill="FFFFFF"/>
              </w:rPr>
            </w:pPr>
          </w:p>
        </w:tc>
        <w:tc>
          <w:tcPr>
            <w:tcW w:w="1275" w:type="dxa"/>
            <w:vMerge/>
            <w:vAlign w:val="center"/>
          </w:tcPr>
          <w:p w14:paraId="1B8632F4" w14:textId="77777777" w:rsidR="00031244" w:rsidRDefault="00031244">
            <w:pPr>
              <w:spacing w:line="560" w:lineRule="exact"/>
              <w:jc w:val="center"/>
              <w:rPr>
                <w:rFonts w:ascii="仿宋" w:eastAsia="仿宋" w:hAnsi="仿宋" w:cs="宋体"/>
                <w:b/>
                <w:color w:val="4C5157"/>
                <w:sz w:val="24"/>
                <w:shd w:val="clear" w:color="auto" w:fill="FFFFFF"/>
              </w:rPr>
            </w:pPr>
          </w:p>
        </w:tc>
        <w:tc>
          <w:tcPr>
            <w:tcW w:w="709" w:type="dxa"/>
            <w:vMerge/>
            <w:vAlign w:val="center"/>
          </w:tcPr>
          <w:p w14:paraId="065D8220" w14:textId="77777777" w:rsidR="00031244" w:rsidRDefault="00031244">
            <w:pPr>
              <w:spacing w:line="560" w:lineRule="exact"/>
              <w:jc w:val="center"/>
              <w:rPr>
                <w:rFonts w:ascii="仿宋" w:eastAsia="仿宋" w:hAnsi="仿宋" w:cs="宋体"/>
                <w:b/>
                <w:color w:val="4C5157"/>
                <w:sz w:val="24"/>
                <w:shd w:val="clear" w:color="auto" w:fill="FFFFFF"/>
              </w:rPr>
            </w:pPr>
          </w:p>
        </w:tc>
        <w:tc>
          <w:tcPr>
            <w:tcW w:w="3900" w:type="dxa"/>
            <w:vMerge/>
            <w:vAlign w:val="center"/>
          </w:tcPr>
          <w:p w14:paraId="4C55C40A" w14:textId="77777777" w:rsidR="00031244" w:rsidRDefault="00031244">
            <w:pPr>
              <w:spacing w:line="560" w:lineRule="exact"/>
              <w:jc w:val="center"/>
              <w:rPr>
                <w:rFonts w:ascii="仿宋" w:eastAsia="仿宋" w:hAnsi="仿宋" w:cs="宋体"/>
                <w:b/>
                <w:color w:val="4C5157"/>
                <w:sz w:val="24"/>
                <w:shd w:val="clear" w:color="auto" w:fill="FFFFFF"/>
              </w:rPr>
            </w:pPr>
          </w:p>
        </w:tc>
        <w:tc>
          <w:tcPr>
            <w:tcW w:w="818" w:type="dxa"/>
            <w:vAlign w:val="center"/>
          </w:tcPr>
          <w:p w14:paraId="2FFAC6CD" w14:textId="77777777" w:rsidR="00031244" w:rsidRDefault="00031244">
            <w:pPr>
              <w:spacing w:line="560" w:lineRule="exact"/>
              <w:jc w:val="center"/>
              <w:rPr>
                <w:rFonts w:ascii="仿宋" w:eastAsia="仿宋" w:hAnsi="仿宋" w:cs="宋体"/>
                <w:b/>
                <w:sz w:val="24"/>
              </w:rPr>
            </w:pPr>
          </w:p>
        </w:tc>
        <w:tc>
          <w:tcPr>
            <w:tcW w:w="818" w:type="dxa"/>
            <w:vAlign w:val="center"/>
          </w:tcPr>
          <w:p w14:paraId="42A96197" w14:textId="77777777" w:rsidR="00031244" w:rsidRDefault="00031244">
            <w:pPr>
              <w:spacing w:line="560" w:lineRule="exact"/>
              <w:jc w:val="center"/>
              <w:rPr>
                <w:rFonts w:ascii="仿宋" w:eastAsia="仿宋" w:hAnsi="仿宋" w:cs="宋体"/>
                <w:b/>
                <w:sz w:val="24"/>
              </w:rPr>
            </w:pPr>
          </w:p>
        </w:tc>
        <w:tc>
          <w:tcPr>
            <w:tcW w:w="820" w:type="dxa"/>
            <w:vAlign w:val="center"/>
          </w:tcPr>
          <w:p w14:paraId="114E993D" w14:textId="77777777" w:rsidR="00031244" w:rsidRDefault="00031244">
            <w:pPr>
              <w:spacing w:line="560" w:lineRule="exact"/>
              <w:jc w:val="center"/>
              <w:rPr>
                <w:rFonts w:ascii="仿宋" w:eastAsia="仿宋" w:hAnsi="仿宋" w:cs="宋体"/>
                <w:b/>
                <w:sz w:val="24"/>
              </w:rPr>
            </w:pPr>
          </w:p>
        </w:tc>
      </w:tr>
      <w:tr w:rsidR="00031244" w14:paraId="5D110F7E" w14:textId="77777777">
        <w:tc>
          <w:tcPr>
            <w:tcW w:w="534" w:type="dxa"/>
            <w:vAlign w:val="center"/>
          </w:tcPr>
          <w:p w14:paraId="21C043A2"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1</w:t>
            </w:r>
          </w:p>
        </w:tc>
        <w:tc>
          <w:tcPr>
            <w:tcW w:w="1275" w:type="dxa"/>
            <w:vAlign w:val="center"/>
          </w:tcPr>
          <w:p w14:paraId="489B5968"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服务资质</w:t>
            </w:r>
          </w:p>
        </w:tc>
        <w:tc>
          <w:tcPr>
            <w:tcW w:w="709" w:type="dxa"/>
            <w:vAlign w:val="center"/>
          </w:tcPr>
          <w:p w14:paraId="1CCF6B2C"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10</w:t>
            </w:r>
          </w:p>
        </w:tc>
        <w:tc>
          <w:tcPr>
            <w:tcW w:w="3900" w:type="dxa"/>
            <w:vAlign w:val="center"/>
          </w:tcPr>
          <w:p w14:paraId="568B1C80"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是否符合资格要求，不符合条件不得分，直接否决。</w:t>
            </w:r>
          </w:p>
        </w:tc>
        <w:tc>
          <w:tcPr>
            <w:tcW w:w="818" w:type="dxa"/>
          </w:tcPr>
          <w:p w14:paraId="5462DA07" w14:textId="77777777" w:rsidR="00031244" w:rsidRDefault="00031244">
            <w:pPr>
              <w:rPr>
                <w:rFonts w:ascii="仿宋" w:eastAsia="仿宋" w:hAnsi="仿宋" w:cs="宋体"/>
                <w:color w:val="4C5157"/>
                <w:sz w:val="24"/>
                <w:shd w:val="clear" w:color="auto" w:fill="FFFFFF"/>
              </w:rPr>
            </w:pPr>
          </w:p>
        </w:tc>
        <w:tc>
          <w:tcPr>
            <w:tcW w:w="818" w:type="dxa"/>
          </w:tcPr>
          <w:p w14:paraId="566C6B38" w14:textId="77777777" w:rsidR="00031244" w:rsidRDefault="00031244">
            <w:pPr>
              <w:rPr>
                <w:rFonts w:ascii="仿宋" w:eastAsia="仿宋" w:hAnsi="仿宋" w:cs="宋体"/>
                <w:color w:val="4C5157"/>
                <w:sz w:val="24"/>
                <w:shd w:val="clear" w:color="auto" w:fill="FFFFFF"/>
              </w:rPr>
            </w:pPr>
          </w:p>
        </w:tc>
        <w:tc>
          <w:tcPr>
            <w:tcW w:w="820" w:type="dxa"/>
          </w:tcPr>
          <w:p w14:paraId="626ACE2F" w14:textId="77777777" w:rsidR="00031244" w:rsidRDefault="00031244">
            <w:pPr>
              <w:rPr>
                <w:rFonts w:ascii="仿宋" w:eastAsia="仿宋" w:hAnsi="仿宋" w:cs="宋体"/>
                <w:color w:val="4C5157"/>
                <w:sz w:val="24"/>
                <w:shd w:val="clear" w:color="auto" w:fill="FFFFFF"/>
              </w:rPr>
            </w:pPr>
          </w:p>
        </w:tc>
      </w:tr>
      <w:tr w:rsidR="00031244" w14:paraId="36DFE707" w14:textId="77777777">
        <w:trPr>
          <w:trHeight w:val="1007"/>
        </w:trPr>
        <w:tc>
          <w:tcPr>
            <w:tcW w:w="534" w:type="dxa"/>
            <w:vAlign w:val="center"/>
          </w:tcPr>
          <w:p w14:paraId="268989EF"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2</w:t>
            </w:r>
          </w:p>
        </w:tc>
        <w:tc>
          <w:tcPr>
            <w:tcW w:w="1275" w:type="dxa"/>
            <w:vAlign w:val="center"/>
          </w:tcPr>
          <w:p w14:paraId="18FA33F3"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投标报价</w:t>
            </w:r>
          </w:p>
        </w:tc>
        <w:tc>
          <w:tcPr>
            <w:tcW w:w="709" w:type="dxa"/>
            <w:vAlign w:val="center"/>
          </w:tcPr>
          <w:p w14:paraId="0E1BADD7"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10</w:t>
            </w:r>
          </w:p>
        </w:tc>
        <w:tc>
          <w:tcPr>
            <w:tcW w:w="3900" w:type="dxa"/>
            <w:vAlign w:val="center"/>
          </w:tcPr>
          <w:p w14:paraId="3B84A4F1"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投标总价不超出报价上限价，总价没有重大漏项或重大不合理。超出报价上限价，直接否决。</w:t>
            </w:r>
          </w:p>
        </w:tc>
        <w:tc>
          <w:tcPr>
            <w:tcW w:w="818" w:type="dxa"/>
          </w:tcPr>
          <w:p w14:paraId="6AF91FB6" w14:textId="77777777" w:rsidR="00031244" w:rsidRDefault="00031244">
            <w:pPr>
              <w:rPr>
                <w:rFonts w:ascii="仿宋" w:eastAsia="仿宋" w:hAnsi="仿宋" w:cs="宋体"/>
                <w:color w:val="4C5157"/>
                <w:sz w:val="24"/>
                <w:shd w:val="clear" w:color="auto" w:fill="FFFFFF"/>
              </w:rPr>
            </w:pPr>
          </w:p>
        </w:tc>
        <w:tc>
          <w:tcPr>
            <w:tcW w:w="818" w:type="dxa"/>
          </w:tcPr>
          <w:p w14:paraId="17DA2471" w14:textId="77777777" w:rsidR="00031244" w:rsidRDefault="00031244">
            <w:pPr>
              <w:rPr>
                <w:rFonts w:ascii="仿宋" w:eastAsia="仿宋" w:hAnsi="仿宋" w:cs="宋体"/>
                <w:color w:val="4C5157"/>
                <w:sz w:val="24"/>
                <w:shd w:val="clear" w:color="auto" w:fill="FFFFFF"/>
              </w:rPr>
            </w:pPr>
          </w:p>
        </w:tc>
        <w:tc>
          <w:tcPr>
            <w:tcW w:w="820" w:type="dxa"/>
          </w:tcPr>
          <w:p w14:paraId="606FDA5A" w14:textId="77777777" w:rsidR="00031244" w:rsidRDefault="00031244">
            <w:pPr>
              <w:rPr>
                <w:rFonts w:ascii="仿宋" w:eastAsia="仿宋" w:hAnsi="仿宋" w:cs="宋体"/>
                <w:color w:val="4C5157"/>
                <w:sz w:val="24"/>
                <w:shd w:val="clear" w:color="auto" w:fill="FFFFFF"/>
              </w:rPr>
            </w:pPr>
          </w:p>
        </w:tc>
      </w:tr>
      <w:tr w:rsidR="00031244" w14:paraId="5C71E0A5" w14:textId="77777777">
        <w:tc>
          <w:tcPr>
            <w:tcW w:w="534" w:type="dxa"/>
            <w:vAlign w:val="center"/>
          </w:tcPr>
          <w:p w14:paraId="0E7BF66C"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3</w:t>
            </w:r>
          </w:p>
        </w:tc>
        <w:tc>
          <w:tcPr>
            <w:tcW w:w="1275" w:type="dxa"/>
            <w:vAlign w:val="center"/>
          </w:tcPr>
          <w:p w14:paraId="5A0CC06A"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综合能力</w:t>
            </w:r>
          </w:p>
        </w:tc>
        <w:tc>
          <w:tcPr>
            <w:tcW w:w="709" w:type="dxa"/>
            <w:vAlign w:val="center"/>
          </w:tcPr>
          <w:p w14:paraId="5C23FF7D"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30</w:t>
            </w:r>
          </w:p>
        </w:tc>
        <w:tc>
          <w:tcPr>
            <w:tcW w:w="3900" w:type="dxa"/>
            <w:vAlign w:val="center"/>
          </w:tcPr>
          <w:p w14:paraId="7CC1F52D"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根据招标文件的需求和响应情况提供实施方案，具体评分标准是：方案完整，可操作性强的得</w:t>
            </w:r>
            <w:r>
              <w:rPr>
                <w:rFonts w:ascii="仿宋" w:eastAsia="仿宋" w:hAnsi="仿宋" w:cs="宋体" w:hint="eastAsia"/>
                <w:color w:val="4C5157"/>
                <w:sz w:val="24"/>
                <w:shd w:val="clear" w:color="auto" w:fill="FFFFFF"/>
              </w:rPr>
              <w:t>30</w:t>
            </w:r>
            <w:r>
              <w:rPr>
                <w:rFonts w:ascii="仿宋" w:eastAsia="仿宋" w:hAnsi="仿宋" w:cs="宋体" w:hint="eastAsia"/>
                <w:color w:val="4C5157"/>
                <w:sz w:val="24"/>
                <w:shd w:val="clear" w:color="auto" w:fill="FFFFFF"/>
              </w:rPr>
              <w:t>分。方案完整可操作性较强的得</w:t>
            </w:r>
            <w:r>
              <w:rPr>
                <w:rFonts w:ascii="仿宋" w:eastAsia="仿宋" w:hAnsi="仿宋" w:cs="宋体" w:hint="eastAsia"/>
                <w:color w:val="4C5157"/>
                <w:sz w:val="24"/>
                <w:shd w:val="clear" w:color="auto" w:fill="FFFFFF"/>
              </w:rPr>
              <w:t>20</w:t>
            </w:r>
            <w:r>
              <w:rPr>
                <w:rFonts w:ascii="仿宋" w:eastAsia="仿宋" w:hAnsi="仿宋" w:cs="宋体" w:hint="eastAsia"/>
                <w:color w:val="4C5157"/>
                <w:sz w:val="24"/>
                <w:shd w:val="clear" w:color="auto" w:fill="FFFFFF"/>
              </w:rPr>
              <w:t>分。方案完整，可操作性不高的得</w:t>
            </w:r>
            <w:r>
              <w:rPr>
                <w:rFonts w:ascii="仿宋" w:eastAsia="仿宋" w:hAnsi="仿宋" w:cs="宋体" w:hint="eastAsia"/>
                <w:color w:val="4C5157"/>
                <w:sz w:val="24"/>
                <w:shd w:val="clear" w:color="auto" w:fill="FFFFFF"/>
              </w:rPr>
              <w:t>10</w:t>
            </w:r>
            <w:r>
              <w:rPr>
                <w:rFonts w:ascii="仿宋" w:eastAsia="仿宋" w:hAnsi="仿宋" w:cs="宋体" w:hint="eastAsia"/>
                <w:color w:val="4C5157"/>
                <w:sz w:val="24"/>
                <w:shd w:val="clear" w:color="auto" w:fill="FFFFFF"/>
              </w:rPr>
              <w:t>分。方案不完整的得</w:t>
            </w:r>
            <w:r>
              <w:rPr>
                <w:rFonts w:ascii="仿宋" w:eastAsia="仿宋" w:hAnsi="仿宋" w:cs="宋体" w:hint="eastAsia"/>
                <w:color w:val="4C5157"/>
                <w:sz w:val="24"/>
                <w:shd w:val="clear" w:color="auto" w:fill="FFFFFF"/>
              </w:rPr>
              <w:t>0</w:t>
            </w:r>
            <w:r>
              <w:rPr>
                <w:rFonts w:ascii="仿宋" w:eastAsia="仿宋" w:hAnsi="仿宋" w:cs="宋体" w:hint="eastAsia"/>
                <w:color w:val="4C5157"/>
                <w:sz w:val="24"/>
                <w:shd w:val="clear" w:color="auto" w:fill="FFFFFF"/>
              </w:rPr>
              <w:t>分。</w:t>
            </w:r>
          </w:p>
        </w:tc>
        <w:tc>
          <w:tcPr>
            <w:tcW w:w="818" w:type="dxa"/>
          </w:tcPr>
          <w:p w14:paraId="625F7353" w14:textId="77777777" w:rsidR="00031244" w:rsidRDefault="00031244">
            <w:pPr>
              <w:rPr>
                <w:rFonts w:ascii="仿宋" w:eastAsia="仿宋" w:hAnsi="仿宋" w:cs="宋体"/>
                <w:color w:val="4C5157"/>
                <w:sz w:val="24"/>
                <w:shd w:val="clear" w:color="auto" w:fill="FFFFFF"/>
              </w:rPr>
            </w:pPr>
          </w:p>
        </w:tc>
        <w:tc>
          <w:tcPr>
            <w:tcW w:w="818" w:type="dxa"/>
          </w:tcPr>
          <w:p w14:paraId="57D2FB11" w14:textId="77777777" w:rsidR="00031244" w:rsidRDefault="00031244">
            <w:pPr>
              <w:rPr>
                <w:rFonts w:ascii="仿宋" w:eastAsia="仿宋" w:hAnsi="仿宋" w:cs="宋体"/>
                <w:color w:val="4C5157"/>
                <w:sz w:val="24"/>
                <w:shd w:val="clear" w:color="auto" w:fill="FFFFFF"/>
              </w:rPr>
            </w:pPr>
          </w:p>
        </w:tc>
        <w:tc>
          <w:tcPr>
            <w:tcW w:w="820" w:type="dxa"/>
          </w:tcPr>
          <w:p w14:paraId="3836290B" w14:textId="77777777" w:rsidR="00031244" w:rsidRDefault="00031244">
            <w:pPr>
              <w:rPr>
                <w:rFonts w:ascii="仿宋" w:eastAsia="仿宋" w:hAnsi="仿宋" w:cs="宋体"/>
                <w:color w:val="4C5157"/>
                <w:sz w:val="24"/>
                <w:shd w:val="clear" w:color="auto" w:fill="FFFFFF"/>
              </w:rPr>
            </w:pPr>
          </w:p>
        </w:tc>
      </w:tr>
      <w:tr w:rsidR="00031244" w14:paraId="0CBCD873" w14:textId="77777777">
        <w:tc>
          <w:tcPr>
            <w:tcW w:w="534" w:type="dxa"/>
            <w:vAlign w:val="center"/>
          </w:tcPr>
          <w:p w14:paraId="73E71896"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4</w:t>
            </w:r>
          </w:p>
        </w:tc>
        <w:tc>
          <w:tcPr>
            <w:tcW w:w="1275" w:type="dxa"/>
            <w:vAlign w:val="center"/>
          </w:tcPr>
          <w:p w14:paraId="3D93DF9E"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过往业绩</w:t>
            </w:r>
          </w:p>
        </w:tc>
        <w:tc>
          <w:tcPr>
            <w:tcW w:w="709" w:type="dxa"/>
            <w:vAlign w:val="center"/>
          </w:tcPr>
          <w:p w14:paraId="7BD21945"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20</w:t>
            </w:r>
          </w:p>
        </w:tc>
        <w:tc>
          <w:tcPr>
            <w:tcW w:w="3900" w:type="dxa"/>
            <w:vAlign w:val="center"/>
          </w:tcPr>
          <w:p w14:paraId="584266F9"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报价单位近三年内（</w:t>
            </w:r>
            <w:r>
              <w:rPr>
                <w:rFonts w:ascii="仿宋" w:eastAsia="仿宋" w:hAnsi="仿宋" w:cs="宋体" w:hint="eastAsia"/>
                <w:color w:val="4C5157"/>
                <w:sz w:val="24"/>
                <w:shd w:val="clear" w:color="auto" w:fill="FFFFFF"/>
              </w:rPr>
              <w:t>2021</w:t>
            </w:r>
            <w:r>
              <w:rPr>
                <w:rFonts w:ascii="仿宋" w:eastAsia="仿宋" w:hAnsi="仿宋" w:cs="宋体" w:hint="eastAsia"/>
                <w:color w:val="4C5157"/>
                <w:sz w:val="24"/>
                <w:shd w:val="clear" w:color="auto" w:fill="FFFFFF"/>
              </w:rPr>
              <w:t>年</w:t>
            </w:r>
            <w:r>
              <w:rPr>
                <w:rFonts w:ascii="仿宋" w:eastAsia="仿宋" w:hAnsi="仿宋" w:cs="宋体" w:hint="eastAsia"/>
                <w:color w:val="4C5157"/>
                <w:sz w:val="24"/>
                <w:shd w:val="clear" w:color="auto" w:fill="FFFFFF"/>
              </w:rPr>
              <w:t>9</w:t>
            </w:r>
            <w:r>
              <w:rPr>
                <w:rFonts w:ascii="仿宋" w:eastAsia="仿宋" w:hAnsi="仿宋" w:cs="宋体" w:hint="eastAsia"/>
                <w:color w:val="4C5157"/>
                <w:sz w:val="24"/>
                <w:shd w:val="clear" w:color="auto" w:fill="FFFFFF"/>
              </w:rPr>
              <w:t>月至今）</w:t>
            </w:r>
            <w:r>
              <w:rPr>
                <w:rFonts w:ascii="仿宋" w:eastAsia="仿宋" w:hAnsi="仿宋" w:cs="宋体" w:hint="eastAsia"/>
                <w:color w:val="4C5157"/>
                <w:sz w:val="24"/>
                <w:shd w:val="clear" w:color="auto" w:fill="FFFFFF"/>
              </w:rPr>
              <w:t>曾承保卫</w:t>
            </w:r>
            <w:proofErr w:type="gramStart"/>
            <w:r>
              <w:rPr>
                <w:rFonts w:ascii="仿宋" w:eastAsia="仿宋" w:hAnsi="仿宋" w:cs="宋体" w:hint="eastAsia"/>
                <w:color w:val="4C5157"/>
                <w:sz w:val="24"/>
                <w:shd w:val="clear" w:color="auto" w:fill="FFFFFF"/>
              </w:rPr>
              <w:t>健系统</w:t>
            </w:r>
            <w:proofErr w:type="gramEnd"/>
            <w:r>
              <w:rPr>
                <w:rFonts w:ascii="仿宋" w:eastAsia="仿宋" w:hAnsi="仿宋" w:cs="宋体" w:hint="eastAsia"/>
                <w:color w:val="4C5157"/>
                <w:sz w:val="24"/>
                <w:shd w:val="clear" w:color="auto" w:fill="FFFFFF"/>
              </w:rPr>
              <w:t>保险项目得</w:t>
            </w:r>
            <w:r>
              <w:rPr>
                <w:rFonts w:ascii="仿宋" w:eastAsia="仿宋" w:hAnsi="仿宋" w:cs="宋体" w:hint="eastAsia"/>
                <w:color w:val="4C5157"/>
                <w:sz w:val="24"/>
                <w:shd w:val="clear" w:color="auto" w:fill="FFFFFF"/>
              </w:rPr>
              <w:t>20</w:t>
            </w:r>
            <w:r>
              <w:rPr>
                <w:rFonts w:ascii="仿宋" w:eastAsia="仿宋" w:hAnsi="仿宋" w:cs="宋体" w:hint="eastAsia"/>
                <w:color w:val="4C5157"/>
                <w:sz w:val="24"/>
                <w:shd w:val="clear" w:color="auto" w:fill="FFFFFF"/>
              </w:rPr>
              <w:t>分，承保其他</w:t>
            </w:r>
            <w:proofErr w:type="gramStart"/>
            <w:r>
              <w:rPr>
                <w:rFonts w:ascii="仿宋" w:eastAsia="仿宋" w:hAnsi="仿宋" w:cs="宋体" w:hint="eastAsia"/>
                <w:color w:val="4C5157"/>
                <w:sz w:val="24"/>
                <w:shd w:val="clear" w:color="auto" w:fill="FFFFFF"/>
              </w:rPr>
              <w:t>类型公益</w:t>
            </w:r>
            <w:proofErr w:type="gramEnd"/>
            <w:r>
              <w:rPr>
                <w:rFonts w:ascii="仿宋" w:eastAsia="仿宋" w:hAnsi="仿宋" w:cs="宋体" w:hint="eastAsia"/>
                <w:color w:val="4C5157"/>
                <w:sz w:val="24"/>
                <w:shd w:val="clear" w:color="auto" w:fill="FFFFFF"/>
              </w:rPr>
              <w:t>项目得</w:t>
            </w:r>
            <w:r>
              <w:rPr>
                <w:rFonts w:ascii="仿宋" w:eastAsia="仿宋" w:hAnsi="仿宋" w:cs="宋体" w:hint="eastAsia"/>
                <w:color w:val="4C5157"/>
                <w:sz w:val="24"/>
                <w:shd w:val="clear" w:color="auto" w:fill="FFFFFF"/>
              </w:rPr>
              <w:t>10</w:t>
            </w:r>
            <w:r>
              <w:rPr>
                <w:rFonts w:ascii="仿宋" w:eastAsia="仿宋" w:hAnsi="仿宋" w:cs="宋体" w:hint="eastAsia"/>
                <w:color w:val="4C5157"/>
                <w:sz w:val="24"/>
                <w:shd w:val="clear" w:color="auto" w:fill="FFFFFF"/>
              </w:rPr>
              <w:t>分</w:t>
            </w:r>
            <w:r>
              <w:rPr>
                <w:rFonts w:ascii="仿宋" w:eastAsia="仿宋" w:hAnsi="仿宋" w:cs="宋体" w:hint="eastAsia"/>
                <w:color w:val="4C5157"/>
                <w:sz w:val="24"/>
                <w:shd w:val="clear" w:color="auto" w:fill="FFFFFF"/>
              </w:rPr>
              <w:t>。</w:t>
            </w:r>
          </w:p>
        </w:tc>
        <w:tc>
          <w:tcPr>
            <w:tcW w:w="818" w:type="dxa"/>
          </w:tcPr>
          <w:p w14:paraId="3655AED8" w14:textId="77777777" w:rsidR="00031244" w:rsidRDefault="00031244">
            <w:pPr>
              <w:rPr>
                <w:rFonts w:ascii="仿宋" w:eastAsia="仿宋" w:hAnsi="仿宋" w:cs="宋体"/>
                <w:color w:val="4C5157"/>
                <w:sz w:val="24"/>
                <w:shd w:val="clear" w:color="auto" w:fill="FFFFFF"/>
              </w:rPr>
            </w:pPr>
          </w:p>
        </w:tc>
        <w:tc>
          <w:tcPr>
            <w:tcW w:w="818" w:type="dxa"/>
          </w:tcPr>
          <w:p w14:paraId="38D8E86F" w14:textId="77777777" w:rsidR="00031244" w:rsidRDefault="00031244">
            <w:pPr>
              <w:rPr>
                <w:rFonts w:ascii="仿宋" w:eastAsia="仿宋" w:hAnsi="仿宋" w:cs="宋体"/>
                <w:color w:val="4C5157"/>
                <w:sz w:val="24"/>
                <w:shd w:val="clear" w:color="auto" w:fill="FFFFFF"/>
              </w:rPr>
            </w:pPr>
          </w:p>
          <w:p w14:paraId="2D6E633C" w14:textId="77777777" w:rsidR="00031244" w:rsidRDefault="00031244"/>
        </w:tc>
        <w:tc>
          <w:tcPr>
            <w:tcW w:w="820" w:type="dxa"/>
          </w:tcPr>
          <w:p w14:paraId="482DE46B" w14:textId="77777777" w:rsidR="00031244" w:rsidRDefault="00031244">
            <w:pPr>
              <w:rPr>
                <w:rFonts w:ascii="仿宋" w:eastAsia="仿宋" w:hAnsi="仿宋" w:cs="宋体"/>
                <w:color w:val="4C5157"/>
                <w:sz w:val="24"/>
                <w:shd w:val="clear" w:color="auto" w:fill="FFFFFF"/>
              </w:rPr>
            </w:pPr>
          </w:p>
        </w:tc>
      </w:tr>
      <w:tr w:rsidR="00031244" w14:paraId="11123125" w14:textId="77777777">
        <w:trPr>
          <w:trHeight w:val="58"/>
        </w:trPr>
        <w:tc>
          <w:tcPr>
            <w:tcW w:w="534" w:type="dxa"/>
            <w:vAlign w:val="center"/>
          </w:tcPr>
          <w:p w14:paraId="769BE1F5"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5</w:t>
            </w:r>
          </w:p>
        </w:tc>
        <w:tc>
          <w:tcPr>
            <w:tcW w:w="1275" w:type="dxa"/>
            <w:vAlign w:val="center"/>
          </w:tcPr>
          <w:p w14:paraId="51B0AF97"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color w:val="4C5157"/>
                <w:sz w:val="24"/>
                <w:shd w:val="clear" w:color="auto" w:fill="FFFFFF"/>
              </w:rPr>
              <w:t>服务质量</w:t>
            </w:r>
          </w:p>
        </w:tc>
        <w:tc>
          <w:tcPr>
            <w:tcW w:w="709" w:type="dxa"/>
            <w:vAlign w:val="center"/>
          </w:tcPr>
          <w:p w14:paraId="6BCD1A63"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20</w:t>
            </w:r>
          </w:p>
        </w:tc>
        <w:tc>
          <w:tcPr>
            <w:tcW w:w="3900" w:type="dxa"/>
            <w:vAlign w:val="center"/>
          </w:tcPr>
          <w:p w14:paraId="276B8035"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考察、对比报价单位提供的服务承诺，是否支持理赔、宣传、慰问等服务，是否具备完善的计生家庭保障支持服务体系。优秀：</w:t>
            </w:r>
            <w:r>
              <w:rPr>
                <w:rFonts w:ascii="仿宋" w:eastAsia="仿宋" w:hAnsi="仿宋" w:cs="宋体" w:hint="eastAsia"/>
                <w:color w:val="4C5157"/>
                <w:sz w:val="24"/>
                <w:shd w:val="clear" w:color="auto" w:fill="FFFFFF"/>
              </w:rPr>
              <w:t>20</w:t>
            </w:r>
            <w:r>
              <w:rPr>
                <w:rFonts w:ascii="仿宋" w:eastAsia="仿宋" w:hAnsi="仿宋" w:cs="宋体" w:hint="eastAsia"/>
                <w:color w:val="4C5157"/>
                <w:sz w:val="24"/>
                <w:shd w:val="clear" w:color="auto" w:fill="FFFFFF"/>
              </w:rPr>
              <w:t>分，良好：</w:t>
            </w:r>
            <w:r>
              <w:rPr>
                <w:rFonts w:ascii="仿宋" w:eastAsia="仿宋" w:hAnsi="仿宋" w:cs="宋体" w:hint="eastAsia"/>
                <w:color w:val="4C5157"/>
                <w:sz w:val="24"/>
                <w:shd w:val="clear" w:color="auto" w:fill="FFFFFF"/>
              </w:rPr>
              <w:t>15</w:t>
            </w:r>
            <w:r>
              <w:rPr>
                <w:rFonts w:ascii="仿宋" w:eastAsia="仿宋" w:hAnsi="仿宋" w:cs="宋体" w:hint="eastAsia"/>
                <w:color w:val="4C5157"/>
                <w:sz w:val="24"/>
                <w:shd w:val="clear" w:color="auto" w:fill="FFFFFF"/>
              </w:rPr>
              <w:t>分，一般：</w:t>
            </w:r>
            <w:r>
              <w:rPr>
                <w:rFonts w:ascii="仿宋" w:eastAsia="仿宋" w:hAnsi="仿宋" w:cs="宋体" w:hint="eastAsia"/>
                <w:color w:val="4C5157"/>
                <w:sz w:val="24"/>
                <w:shd w:val="clear" w:color="auto" w:fill="FFFFFF"/>
              </w:rPr>
              <w:t>10</w:t>
            </w:r>
            <w:r>
              <w:rPr>
                <w:rFonts w:ascii="仿宋" w:eastAsia="仿宋" w:hAnsi="仿宋" w:cs="宋体" w:hint="eastAsia"/>
                <w:color w:val="4C5157"/>
                <w:sz w:val="24"/>
                <w:shd w:val="clear" w:color="auto" w:fill="FFFFFF"/>
              </w:rPr>
              <w:t>分，没有提供售后服务不得分。</w:t>
            </w:r>
          </w:p>
        </w:tc>
        <w:tc>
          <w:tcPr>
            <w:tcW w:w="818" w:type="dxa"/>
          </w:tcPr>
          <w:p w14:paraId="6A2D9C6E" w14:textId="77777777" w:rsidR="00031244" w:rsidRDefault="00031244">
            <w:pPr>
              <w:rPr>
                <w:rFonts w:ascii="仿宋" w:eastAsia="仿宋" w:hAnsi="仿宋" w:cs="宋体"/>
                <w:color w:val="4C5157"/>
                <w:sz w:val="24"/>
                <w:shd w:val="clear" w:color="auto" w:fill="FFFFFF"/>
              </w:rPr>
            </w:pPr>
          </w:p>
        </w:tc>
        <w:tc>
          <w:tcPr>
            <w:tcW w:w="818" w:type="dxa"/>
          </w:tcPr>
          <w:p w14:paraId="2EFBBCA5" w14:textId="77777777" w:rsidR="00031244" w:rsidRDefault="00031244">
            <w:pPr>
              <w:rPr>
                <w:rFonts w:ascii="仿宋" w:eastAsia="仿宋" w:hAnsi="仿宋" w:cs="宋体"/>
                <w:color w:val="4C5157"/>
                <w:sz w:val="24"/>
                <w:shd w:val="clear" w:color="auto" w:fill="FFFFFF"/>
              </w:rPr>
            </w:pPr>
          </w:p>
        </w:tc>
        <w:tc>
          <w:tcPr>
            <w:tcW w:w="820" w:type="dxa"/>
          </w:tcPr>
          <w:p w14:paraId="69B05D37" w14:textId="77777777" w:rsidR="00031244" w:rsidRDefault="00031244">
            <w:pPr>
              <w:rPr>
                <w:rFonts w:ascii="仿宋" w:eastAsia="仿宋" w:hAnsi="仿宋" w:cs="宋体"/>
                <w:color w:val="4C5157"/>
                <w:sz w:val="24"/>
                <w:shd w:val="clear" w:color="auto" w:fill="FFFFFF"/>
              </w:rPr>
            </w:pPr>
          </w:p>
        </w:tc>
      </w:tr>
      <w:tr w:rsidR="00031244" w14:paraId="76908D30" w14:textId="77777777">
        <w:tc>
          <w:tcPr>
            <w:tcW w:w="534" w:type="dxa"/>
            <w:vAlign w:val="center"/>
          </w:tcPr>
          <w:p w14:paraId="2ED76204"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6</w:t>
            </w:r>
          </w:p>
        </w:tc>
        <w:tc>
          <w:tcPr>
            <w:tcW w:w="1275" w:type="dxa"/>
            <w:vAlign w:val="center"/>
          </w:tcPr>
          <w:p w14:paraId="46A24663"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color w:val="4C5157"/>
                <w:sz w:val="24"/>
                <w:shd w:val="clear" w:color="auto" w:fill="FFFFFF"/>
              </w:rPr>
              <w:t>团队能力</w:t>
            </w:r>
          </w:p>
        </w:tc>
        <w:tc>
          <w:tcPr>
            <w:tcW w:w="709" w:type="dxa"/>
            <w:vAlign w:val="center"/>
          </w:tcPr>
          <w:p w14:paraId="30880CAC"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10</w:t>
            </w:r>
          </w:p>
        </w:tc>
        <w:tc>
          <w:tcPr>
            <w:tcW w:w="3900" w:type="dxa"/>
          </w:tcPr>
          <w:p w14:paraId="11C0FA36" w14:textId="77777777" w:rsidR="00031244" w:rsidRDefault="00824F03">
            <w:pPr>
              <w:jc w:val="left"/>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考查、对比报价单位场地及业务能力，是否具备独立办公场所在开平市内；对比报价单位所获得的荣誉、称号、奖项等；对比报价单位本项目投入的团队人员人数，人员是否具有政府采购代理工作经验。优秀：</w:t>
            </w:r>
            <w:r>
              <w:rPr>
                <w:rFonts w:ascii="仿宋" w:eastAsia="仿宋" w:hAnsi="仿宋" w:cs="宋体" w:hint="eastAsia"/>
                <w:color w:val="4C5157"/>
                <w:sz w:val="24"/>
                <w:shd w:val="clear" w:color="auto" w:fill="FFFFFF"/>
              </w:rPr>
              <w:t>10</w:t>
            </w:r>
            <w:r>
              <w:rPr>
                <w:rFonts w:ascii="仿宋" w:eastAsia="仿宋" w:hAnsi="仿宋" w:cs="宋体" w:hint="eastAsia"/>
                <w:color w:val="4C5157"/>
                <w:sz w:val="24"/>
                <w:shd w:val="clear" w:color="auto" w:fill="FFFFFF"/>
              </w:rPr>
              <w:t>分，良好：</w:t>
            </w:r>
            <w:r>
              <w:rPr>
                <w:rFonts w:ascii="仿宋" w:eastAsia="仿宋" w:hAnsi="仿宋" w:cs="宋体" w:hint="eastAsia"/>
                <w:color w:val="4C5157"/>
                <w:sz w:val="24"/>
                <w:shd w:val="clear" w:color="auto" w:fill="FFFFFF"/>
              </w:rPr>
              <w:t>6</w:t>
            </w:r>
            <w:r>
              <w:rPr>
                <w:rFonts w:ascii="仿宋" w:eastAsia="仿宋" w:hAnsi="仿宋" w:cs="宋体" w:hint="eastAsia"/>
                <w:color w:val="4C5157"/>
                <w:sz w:val="24"/>
                <w:shd w:val="clear" w:color="auto" w:fill="FFFFFF"/>
              </w:rPr>
              <w:t>分，一般：</w:t>
            </w:r>
            <w:r>
              <w:rPr>
                <w:rFonts w:ascii="仿宋" w:eastAsia="仿宋" w:hAnsi="仿宋" w:cs="宋体" w:hint="eastAsia"/>
                <w:color w:val="4C5157"/>
                <w:sz w:val="24"/>
                <w:shd w:val="clear" w:color="auto" w:fill="FFFFFF"/>
              </w:rPr>
              <w:t>2</w:t>
            </w:r>
            <w:r>
              <w:rPr>
                <w:rFonts w:ascii="仿宋" w:eastAsia="仿宋" w:hAnsi="仿宋" w:cs="宋体" w:hint="eastAsia"/>
                <w:color w:val="4C5157"/>
                <w:sz w:val="24"/>
                <w:shd w:val="clear" w:color="auto" w:fill="FFFFFF"/>
              </w:rPr>
              <w:t>分。</w:t>
            </w:r>
          </w:p>
        </w:tc>
        <w:tc>
          <w:tcPr>
            <w:tcW w:w="818" w:type="dxa"/>
          </w:tcPr>
          <w:p w14:paraId="3E897A57" w14:textId="77777777" w:rsidR="00031244" w:rsidRDefault="00031244">
            <w:pPr>
              <w:rPr>
                <w:rFonts w:ascii="仿宋" w:eastAsia="仿宋" w:hAnsi="仿宋" w:cs="宋体"/>
                <w:color w:val="4C5157"/>
                <w:sz w:val="24"/>
                <w:shd w:val="clear" w:color="auto" w:fill="FFFFFF"/>
              </w:rPr>
            </w:pPr>
          </w:p>
        </w:tc>
        <w:tc>
          <w:tcPr>
            <w:tcW w:w="818" w:type="dxa"/>
          </w:tcPr>
          <w:p w14:paraId="090AFBE4" w14:textId="77777777" w:rsidR="00031244" w:rsidRDefault="00031244">
            <w:pPr>
              <w:rPr>
                <w:rFonts w:ascii="仿宋" w:eastAsia="仿宋" w:hAnsi="仿宋" w:cs="宋体"/>
                <w:color w:val="4C5157"/>
                <w:sz w:val="24"/>
                <w:shd w:val="clear" w:color="auto" w:fill="FFFFFF"/>
              </w:rPr>
            </w:pPr>
          </w:p>
        </w:tc>
        <w:tc>
          <w:tcPr>
            <w:tcW w:w="820" w:type="dxa"/>
          </w:tcPr>
          <w:p w14:paraId="29B483AF" w14:textId="77777777" w:rsidR="00031244" w:rsidRDefault="00031244">
            <w:pPr>
              <w:rPr>
                <w:rFonts w:ascii="仿宋" w:eastAsia="仿宋" w:hAnsi="仿宋" w:cs="宋体"/>
                <w:color w:val="4C5157"/>
                <w:sz w:val="24"/>
                <w:shd w:val="clear" w:color="auto" w:fill="FFFFFF"/>
              </w:rPr>
            </w:pPr>
          </w:p>
        </w:tc>
      </w:tr>
      <w:tr w:rsidR="00031244" w14:paraId="01AC3293" w14:textId="77777777">
        <w:trPr>
          <w:trHeight w:val="549"/>
        </w:trPr>
        <w:tc>
          <w:tcPr>
            <w:tcW w:w="1809" w:type="dxa"/>
            <w:gridSpan w:val="2"/>
            <w:vAlign w:val="center"/>
          </w:tcPr>
          <w:p w14:paraId="43F703F5"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color w:val="4C5157"/>
                <w:sz w:val="24"/>
                <w:shd w:val="clear" w:color="auto" w:fill="FFFFFF"/>
              </w:rPr>
              <w:t>总分</w:t>
            </w:r>
          </w:p>
        </w:tc>
        <w:tc>
          <w:tcPr>
            <w:tcW w:w="709" w:type="dxa"/>
            <w:vAlign w:val="center"/>
          </w:tcPr>
          <w:p w14:paraId="765F9C27" w14:textId="77777777" w:rsidR="00031244" w:rsidRDefault="00824F03">
            <w:pPr>
              <w:jc w:val="center"/>
              <w:rPr>
                <w:rFonts w:ascii="仿宋" w:eastAsia="仿宋" w:hAnsi="仿宋" w:cs="宋体"/>
                <w:color w:val="4C5157"/>
                <w:sz w:val="24"/>
                <w:shd w:val="clear" w:color="auto" w:fill="FFFFFF"/>
              </w:rPr>
            </w:pPr>
            <w:r>
              <w:rPr>
                <w:rFonts w:ascii="仿宋" w:eastAsia="仿宋" w:hAnsi="仿宋" w:cs="宋体" w:hint="eastAsia"/>
                <w:color w:val="4C5157"/>
                <w:sz w:val="24"/>
                <w:shd w:val="clear" w:color="auto" w:fill="FFFFFF"/>
              </w:rPr>
              <w:t>100</w:t>
            </w:r>
          </w:p>
        </w:tc>
        <w:tc>
          <w:tcPr>
            <w:tcW w:w="3900" w:type="dxa"/>
          </w:tcPr>
          <w:p w14:paraId="4CF66F51" w14:textId="77777777" w:rsidR="00031244" w:rsidRDefault="00031244">
            <w:pPr>
              <w:jc w:val="left"/>
              <w:rPr>
                <w:rFonts w:ascii="仿宋" w:eastAsia="仿宋" w:hAnsi="仿宋" w:cs="宋体"/>
                <w:color w:val="4C5157"/>
                <w:sz w:val="24"/>
                <w:shd w:val="clear" w:color="auto" w:fill="FFFFFF"/>
              </w:rPr>
            </w:pPr>
          </w:p>
        </w:tc>
        <w:tc>
          <w:tcPr>
            <w:tcW w:w="818" w:type="dxa"/>
          </w:tcPr>
          <w:p w14:paraId="25194687" w14:textId="77777777" w:rsidR="00031244" w:rsidRDefault="00031244">
            <w:pPr>
              <w:rPr>
                <w:rFonts w:ascii="仿宋" w:eastAsia="仿宋" w:hAnsi="仿宋" w:cs="宋体"/>
                <w:color w:val="4C5157"/>
                <w:sz w:val="24"/>
                <w:shd w:val="clear" w:color="auto" w:fill="FFFFFF"/>
              </w:rPr>
            </w:pPr>
          </w:p>
        </w:tc>
        <w:tc>
          <w:tcPr>
            <w:tcW w:w="818" w:type="dxa"/>
          </w:tcPr>
          <w:p w14:paraId="55B36330" w14:textId="77777777" w:rsidR="00031244" w:rsidRDefault="00031244">
            <w:pPr>
              <w:rPr>
                <w:rFonts w:ascii="仿宋" w:eastAsia="仿宋" w:hAnsi="仿宋" w:cs="宋体"/>
                <w:color w:val="4C5157"/>
                <w:sz w:val="24"/>
                <w:shd w:val="clear" w:color="auto" w:fill="FFFFFF"/>
              </w:rPr>
            </w:pPr>
          </w:p>
        </w:tc>
        <w:tc>
          <w:tcPr>
            <w:tcW w:w="820" w:type="dxa"/>
          </w:tcPr>
          <w:p w14:paraId="5DF1007A" w14:textId="77777777" w:rsidR="00031244" w:rsidRDefault="00031244">
            <w:pPr>
              <w:rPr>
                <w:rFonts w:ascii="仿宋" w:eastAsia="仿宋" w:hAnsi="仿宋" w:cs="宋体"/>
                <w:color w:val="4C5157"/>
                <w:sz w:val="24"/>
                <w:shd w:val="clear" w:color="auto" w:fill="FFFFFF"/>
              </w:rPr>
            </w:pPr>
          </w:p>
        </w:tc>
      </w:tr>
    </w:tbl>
    <w:p w14:paraId="2A441711" w14:textId="77777777" w:rsidR="00031244" w:rsidRDefault="00031244">
      <w:pPr>
        <w:spacing w:line="560" w:lineRule="exact"/>
        <w:rPr>
          <w:rFonts w:ascii="宋体" w:eastAsia="宋体" w:hAnsi="宋体" w:cs="宋体"/>
          <w:color w:val="4C5157"/>
          <w:sz w:val="24"/>
          <w:shd w:val="clear" w:color="auto" w:fill="FFFFFF"/>
        </w:rPr>
      </w:pPr>
    </w:p>
    <w:sectPr w:rsidR="00031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ZjI3MDQ3ODk3ZTA2NmYzMGZjZTNiYzM1MzgwNDAifQ=="/>
  </w:docVars>
  <w:rsids>
    <w:rsidRoot w:val="0D18184A"/>
    <w:rsid w:val="000304C3"/>
    <w:rsid w:val="00031244"/>
    <w:rsid w:val="000D38CD"/>
    <w:rsid w:val="00267E36"/>
    <w:rsid w:val="00295DC3"/>
    <w:rsid w:val="002D24CD"/>
    <w:rsid w:val="003B36D7"/>
    <w:rsid w:val="004E0C3D"/>
    <w:rsid w:val="005D1093"/>
    <w:rsid w:val="00617ACB"/>
    <w:rsid w:val="00714F92"/>
    <w:rsid w:val="007302FA"/>
    <w:rsid w:val="00824F03"/>
    <w:rsid w:val="00974A08"/>
    <w:rsid w:val="00A3562B"/>
    <w:rsid w:val="00AF1EED"/>
    <w:rsid w:val="00B970F1"/>
    <w:rsid w:val="00BD72C3"/>
    <w:rsid w:val="00DB34F6"/>
    <w:rsid w:val="00DD488D"/>
    <w:rsid w:val="00E32495"/>
    <w:rsid w:val="0D18184A"/>
    <w:rsid w:val="12442667"/>
    <w:rsid w:val="12863950"/>
    <w:rsid w:val="16095E73"/>
    <w:rsid w:val="1B61067A"/>
    <w:rsid w:val="23353491"/>
    <w:rsid w:val="2F6D016C"/>
    <w:rsid w:val="334D5A38"/>
    <w:rsid w:val="44C75EF1"/>
    <w:rsid w:val="451F76A5"/>
    <w:rsid w:val="49553EA9"/>
    <w:rsid w:val="4CCC3C6F"/>
    <w:rsid w:val="4DC515A5"/>
    <w:rsid w:val="59C945D5"/>
    <w:rsid w:val="5D9C7073"/>
    <w:rsid w:val="60A02D04"/>
    <w:rsid w:val="70E03853"/>
    <w:rsid w:val="71154094"/>
    <w:rsid w:val="77ED0741"/>
    <w:rsid w:val="798E078B"/>
    <w:rsid w:val="7A3E71CF"/>
    <w:rsid w:val="7E6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阿恒</dc:creator>
  <cp:lastModifiedBy>张策</cp:lastModifiedBy>
  <cp:revision>2</cp:revision>
  <dcterms:created xsi:type="dcterms:W3CDTF">2024-12-10T02:23:00Z</dcterms:created>
  <dcterms:modified xsi:type="dcterms:W3CDTF">2024-12-10T02:23:00Z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690AD589AE434BD39446A1960950DE36_13</vt:lpwstr>
  </property>
</Properties>
</file>