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C5F68">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开平市人民政府行政服务中心</w:t>
      </w:r>
      <w:bookmarkStart w:id="0" w:name="_GoBack"/>
      <w:bookmarkEnd w:id="0"/>
      <w:r>
        <w:rPr>
          <w:rFonts w:hint="eastAsia" w:ascii="方正小标宋简体" w:hAnsi="方正小标宋简体" w:eastAsia="方正小标宋简体" w:cs="方正小标宋简体"/>
          <w:b w:val="0"/>
          <w:bCs w:val="0"/>
          <w:kern w:val="0"/>
          <w:sz w:val="44"/>
          <w:szCs w:val="44"/>
          <w:lang w:val="en-US" w:eastAsia="zh-CN"/>
        </w:rPr>
        <w:t>信息系统维护</w:t>
      </w:r>
      <w:r>
        <w:rPr>
          <w:rFonts w:hint="eastAsia" w:ascii="方正小标宋简体" w:hAnsi="方正小标宋简体" w:eastAsia="方正小标宋简体" w:cs="方正小标宋简体"/>
          <w:b w:val="0"/>
          <w:bCs w:val="0"/>
          <w:kern w:val="0"/>
          <w:sz w:val="44"/>
          <w:szCs w:val="44"/>
        </w:rPr>
        <w:t>项目评定原则与评审方法</w:t>
      </w:r>
    </w:p>
    <w:p w14:paraId="2AA8398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rPr>
      </w:pPr>
    </w:p>
    <w:p w14:paraId="76E44E78">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评定原则</w:t>
      </w:r>
    </w:p>
    <w:p w14:paraId="04B4B18F">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按能够最大限度地满足</w:t>
      </w:r>
      <w:r>
        <w:rPr>
          <w:rFonts w:hint="eastAsia" w:ascii="仿宋_GB2312" w:hAnsi="仿宋_GB2312" w:eastAsia="仿宋_GB2312" w:cs="仿宋_GB2312"/>
          <w:b w:val="0"/>
          <w:bCs w:val="0"/>
          <w:sz w:val="32"/>
          <w:szCs w:val="32"/>
          <w:lang w:eastAsia="zh-CN"/>
        </w:rPr>
        <w:t>需求</w:t>
      </w:r>
      <w:r>
        <w:rPr>
          <w:rFonts w:hint="eastAsia" w:ascii="仿宋_GB2312" w:hAnsi="仿宋_GB2312" w:eastAsia="仿宋_GB2312" w:cs="仿宋_GB2312"/>
          <w:b w:val="0"/>
          <w:bCs w:val="0"/>
          <w:sz w:val="32"/>
          <w:szCs w:val="32"/>
        </w:rPr>
        <w:t>文件中规定的各项综合评价标准的响应人成交的原则定标。</w:t>
      </w:r>
    </w:p>
    <w:p w14:paraId="6F8295D7">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由</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lang w:val="en-US" w:eastAsia="zh-CN"/>
        </w:rPr>
        <w:t>承办</w:t>
      </w:r>
      <w:r>
        <w:rPr>
          <w:rFonts w:hint="eastAsia" w:ascii="仿宋_GB2312" w:hAnsi="仿宋_GB2312" w:eastAsia="仿宋_GB2312" w:cs="仿宋_GB2312"/>
          <w:b w:val="0"/>
          <w:bCs w:val="0"/>
          <w:sz w:val="32"/>
          <w:szCs w:val="32"/>
          <w:lang w:eastAsia="zh-CN"/>
        </w:rPr>
        <w:t>小组</w:t>
      </w:r>
      <w:r>
        <w:rPr>
          <w:rFonts w:hint="eastAsia" w:ascii="仿宋_GB2312" w:hAnsi="仿宋_GB2312" w:eastAsia="仿宋_GB2312" w:cs="仿宋_GB2312"/>
          <w:b w:val="0"/>
          <w:bCs w:val="0"/>
          <w:sz w:val="32"/>
          <w:szCs w:val="32"/>
        </w:rPr>
        <w:t>对所有响应文件进行响应性审查，未能响应</w:t>
      </w:r>
      <w:r>
        <w:rPr>
          <w:rFonts w:hint="eastAsia" w:ascii="仿宋_GB2312" w:hAnsi="仿宋_GB2312" w:eastAsia="仿宋_GB2312" w:cs="仿宋_GB2312"/>
          <w:b w:val="0"/>
          <w:bCs w:val="0"/>
          <w:sz w:val="32"/>
          <w:szCs w:val="32"/>
          <w:lang w:eastAsia="zh-CN"/>
        </w:rPr>
        <w:t>需求</w:t>
      </w:r>
      <w:r>
        <w:rPr>
          <w:rFonts w:hint="eastAsia" w:ascii="仿宋_GB2312" w:hAnsi="仿宋_GB2312" w:eastAsia="仿宋_GB2312" w:cs="仿宋_GB2312"/>
          <w:b w:val="0"/>
          <w:bCs w:val="0"/>
          <w:sz w:val="32"/>
          <w:szCs w:val="32"/>
        </w:rPr>
        <w:t>文件要求的响应文件作无效响应处理，通过符合性审查的响应人才能进入评比阶段。</w:t>
      </w:r>
    </w:p>
    <w:p w14:paraId="7175B19C">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由</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lang w:val="en-US" w:eastAsia="zh-CN"/>
        </w:rPr>
        <w:t>承办</w:t>
      </w:r>
      <w:r>
        <w:rPr>
          <w:rFonts w:hint="eastAsia" w:ascii="仿宋_GB2312" w:hAnsi="仿宋_GB2312" w:eastAsia="仿宋_GB2312" w:cs="仿宋_GB2312"/>
          <w:b w:val="0"/>
          <w:bCs w:val="0"/>
          <w:sz w:val="32"/>
          <w:szCs w:val="32"/>
          <w:lang w:eastAsia="zh-CN"/>
        </w:rPr>
        <w:t>小组</w:t>
      </w:r>
      <w:r>
        <w:rPr>
          <w:rFonts w:hint="eastAsia" w:ascii="仿宋_GB2312" w:hAnsi="仿宋_GB2312" w:eastAsia="仿宋_GB2312" w:cs="仿宋_GB2312"/>
          <w:b w:val="0"/>
          <w:bCs w:val="0"/>
          <w:sz w:val="32"/>
          <w:szCs w:val="32"/>
        </w:rPr>
        <w:t>采用综合评分法对提交最后报价的供应商的响应文件和报价进行综合评分，评审以</w:t>
      </w:r>
      <w:r>
        <w:rPr>
          <w:rFonts w:hint="eastAsia" w:ascii="仿宋_GB2312" w:hAnsi="仿宋_GB2312" w:eastAsia="仿宋_GB2312" w:cs="仿宋_GB2312"/>
          <w:b w:val="0"/>
          <w:bCs w:val="0"/>
          <w:sz w:val="32"/>
          <w:szCs w:val="32"/>
          <w:lang w:eastAsia="zh-CN"/>
        </w:rPr>
        <w:t>需求</w:t>
      </w:r>
      <w:r>
        <w:rPr>
          <w:rFonts w:hint="eastAsia" w:ascii="仿宋_GB2312" w:hAnsi="仿宋_GB2312" w:eastAsia="仿宋_GB2312" w:cs="仿宋_GB2312"/>
          <w:b w:val="0"/>
          <w:bCs w:val="0"/>
          <w:sz w:val="32"/>
          <w:szCs w:val="32"/>
        </w:rPr>
        <w:t>文件规定的条件为原则，最低报价不作为成交的唯一依据。</w:t>
      </w:r>
    </w:p>
    <w:p w14:paraId="5847494A">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评审方法</w:t>
      </w:r>
    </w:p>
    <w:p w14:paraId="7FD907E5">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资格和符合性审查</w:t>
      </w:r>
    </w:p>
    <w:tbl>
      <w:tblPr>
        <w:tblStyle w:val="3"/>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5841"/>
      </w:tblGrid>
      <w:tr w14:paraId="7223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vAlign w:val="center"/>
          </w:tcPr>
          <w:p w14:paraId="0805B9C1">
            <w:pPr>
              <w:pStyle w:val="2"/>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审查项目</w:t>
            </w:r>
          </w:p>
        </w:tc>
        <w:tc>
          <w:tcPr>
            <w:tcW w:w="5841" w:type="dxa"/>
            <w:vAlign w:val="center"/>
          </w:tcPr>
          <w:p w14:paraId="07DF787F">
            <w:pPr>
              <w:pStyle w:val="2"/>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审查要求</w:t>
            </w:r>
          </w:p>
        </w:tc>
      </w:tr>
      <w:tr w14:paraId="7F5B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vAlign w:val="center"/>
          </w:tcPr>
          <w:p w14:paraId="75ABF4F4">
            <w:pPr>
              <w:pStyle w:val="2"/>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资格审查</w:t>
            </w:r>
          </w:p>
        </w:tc>
        <w:tc>
          <w:tcPr>
            <w:tcW w:w="5841" w:type="dxa"/>
            <w:vAlign w:val="top"/>
          </w:tcPr>
          <w:p w14:paraId="6E7FAC2C">
            <w:pPr>
              <w:widowControl/>
              <w:numPr>
                <w:ilvl w:val="0"/>
                <w:numId w:val="0"/>
              </w:numPr>
              <w:spacing w:line="480" w:lineRule="exact"/>
              <w:ind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响应人应当具备《政府采购法》第二十二条规定的条件；</w:t>
            </w:r>
          </w:p>
          <w:p w14:paraId="0CF22CA8">
            <w:pPr>
              <w:widowControl/>
              <w:numPr>
                <w:ilvl w:val="0"/>
                <w:numId w:val="0"/>
              </w:numPr>
              <w:spacing w:line="480" w:lineRule="exact"/>
              <w:ind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响应人应当是具合法经营资格的法人或者其他组织，且具有良好的信誉；</w:t>
            </w:r>
          </w:p>
          <w:p w14:paraId="420EC384">
            <w:pPr>
              <w:widowControl/>
              <w:numPr>
                <w:ilvl w:val="0"/>
                <w:numId w:val="0"/>
              </w:numPr>
              <w:wordWrap w:val="0"/>
              <w:spacing w:line="480" w:lineRule="exact"/>
              <w:ind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响应人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p>
          <w:p w14:paraId="1CEA2215">
            <w:pPr>
              <w:widowControl/>
              <w:numPr>
                <w:ilvl w:val="0"/>
                <w:numId w:val="0"/>
              </w:numPr>
              <w:spacing w:line="480" w:lineRule="exact"/>
              <w:ind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单位负责人为同一人或者存在直接控股、管理关系的不同供应商，不得参加同一合同项下的政府采购活动；</w:t>
            </w:r>
          </w:p>
          <w:p w14:paraId="15AEB564">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本项目不允许分包，不接受联合体</w:t>
            </w:r>
            <w:r>
              <w:rPr>
                <w:rFonts w:hint="eastAsia" w:ascii="仿宋_GB2312" w:hAnsi="仿宋_GB2312" w:eastAsia="仿宋_GB2312" w:cs="仿宋_GB2312"/>
                <w:kern w:val="0"/>
                <w:sz w:val="32"/>
                <w:szCs w:val="32"/>
                <w:lang w:eastAsia="zh-CN"/>
              </w:rPr>
              <w:t>响</w:t>
            </w:r>
            <w:r>
              <w:rPr>
                <w:rFonts w:hint="eastAsia" w:ascii="仿宋_GB2312" w:hAnsi="仿宋_GB2312" w:eastAsia="仿宋_GB2312" w:cs="仿宋_GB2312"/>
                <w:kern w:val="0"/>
                <w:sz w:val="32"/>
                <w:szCs w:val="32"/>
              </w:rPr>
              <w:t>应。</w:t>
            </w:r>
          </w:p>
        </w:tc>
      </w:tr>
      <w:tr w14:paraId="2BFF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vAlign w:val="center"/>
          </w:tcPr>
          <w:p w14:paraId="57435B51">
            <w:pPr>
              <w:pStyle w:val="2"/>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符合性审查</w:t>
            </w:r>
          </w:p>
        </w:tc>
        <w:tc>
          <w:tcPr>
            <w:tcW w:w="5841" w:type="dxa"/>
            <w:vAlign w:val="top"/>
          </w:tcPr>
          <w:p w14:paraId="45F54E71">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响应文件按照</w:t>
            </w:r>
            <w:r>
              <w:rPr>
                <w:rFonts w:hint="eastAsia" w:ascii="仿宋_GB2312" w:hAnsi="仿宋_GB2312" w:eastAsia="仿宋_GB2312" w:cs="仿宋_GB2312"/>
                <w:b w:val="0"/>
                <w:bCs w:val="0"/>
                <w:sz w:val="32"/>
                <w:szCs w:val="32"/>
                <w:lang w:eastAsia="zh-CN"/>
              </w:rPr>
              <w:t>需求</w:t>
            </w:r>
            <w:r>
              <w:rPr>
                <w:rFonts w:hint="eastAsia" w:ascii="仿宋_GB2312" w:hAnsi="仿宋_GB2312" w:eastAsia="仿宋_GB2312" w:cs="仿宋_GB2312"/>
                <w:b w:val="0"/>
                <w:bCs w:val="0"/>
                <w:sz w:val="32"/>
                <w:szCs w:val="32"/>
              </w:rPr>
              <w:t>文件规定要求签署、盖章。</w:t>
            </w:r>
          </w:p>
          <w:p w14:paraId="5B254037">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响应报价符合</w:t>
            </w:r>
            <w:r>
              <w:rPr>
                <w:rFonts w:hint="eastAsia" w:ascii="仿宋_GB2312" w:hAnsi="仿宋_GB2312" w:eastAsia="仿宋_GB2312" w:cs="仿宋_GB2312"/>
                <w:b w:val="0"/>
                <w:bCs w:val="0"/>
                <w:sz w:val="32"/>
                <w:szCs w:val="32"/>
                <w:lang w:eastAsia="zh-CN"/>
              </w:rPr>
              <w:t>需求</w:t>
            </w:r>
            <w:r>
              <w:rPr>
                <w:rFonts w:hint="eastAsia" w:ascii="仿宋_GB2312" w:hAnsi="仿宋_GB2312" w:eastAsia="仿宋_GB2312" w:cs="仿宋_GB2312"/>
                <w:b w:val="0"/>
                <w:bCs w:val="0"/>
                <w:sz w:val="32"/>
                <w:szCs w:val="32"/>
              </w:rPr>
              <w:t>文件规定的报价要求。</w:t>
            </w:r>
          </w:p>
          <w:p w14:paraId="58BBBF51">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响应有效期符合</w:t>
            </w:r>
            <w:r>
              <w:rPr>
                <w:rFonts w:hint="eastAsia" w:ascii="仿宋_GB2312" w:hAnsi="仿宋_GB2312" w:eastAsia="仿宋_GB2312" w:cs="仿宋_GB2312"/>
                <w:b w:val="0"/>
                <w:bCs w:val="0"/>
                <w:sz w:val="32"/>
                <w:szCs w:val="32"/>
                <w:lang w:eastAsia="zh-CN"/>
              </w:rPr>
              <w:t>需求文件</w:t>
            </w:r>
            <w:r>
              <w:rPr>
                <w:rFonts w:hint="eastAsia" w:ascii="仿宋_GB2312" w:hAnsi="仿宋_GB2312" w:eastAsia="仿宋_GB2312" w:cs="仿宋_GB2312"/>
                <w:b w:val="0"/>
                <w:bCs w:val="0"/>
                <w:sz w:val="32"/>
                <w:szCs w:val="32"/>
              </w:rPr>
              <w:t>要求。</w:t>
            </w:r>
          </w:p>
          <w:p w14:paraId="40C78945">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响应文件不存在</w:t>
            </w:r>
            <w:r>
              <w:rPr>
                <w:rFonts w:hint="eastAsia" w:ascii="仿宋_GB2312" w:hAnsi="仿宋_GB2312" w:eastAsia="仿宋_GB2312" w:cs="仿宋_GB2312"/>
                <w:b w:val="0"/>
                <w:bCs w:val="0"/>
                <w:sz w:val="32"/>
                <w:szCs w:val="32"/>
                <w:lang w:eastAsia="zh-CN"/>
              </w:rPr>
              <w:t>需求文件</w:t>
            </w:r>
            <w:r>
              <w:rPr>
                <w:rFonts w:hint="eastAsia" w:ascii="仿宋_GB2312" w:hAnsi="仿宋_GB2312" w:eastAsia="仿宋_GB2312" w:cs="仿宋_GB2312"/>
                <w:b w:val="0"/>
                <w:bCs w:val="0"/>
                <w:sz w:val="32"/>
                <w:szCs w:val="32"/>
              </w:rPr>
              <w:t>或法规明确规定的其他无效响应情形。</w:t>
            </w:r>
          </w:p>
        </w:tc>
      </w:tr>
    </w:tbl>
    <w:p w14:paraId="5DF65A5D">
      <w:pPr>
        <w:pStyle w:val="2"/>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本项目评分权重及评审因素如下</w:t>
      </w:r>
    </w:p>
    <w:tbl>
      <w:tblPr>
        <w:tblStyle w:val="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649"/>
        <w:gridCol w:w="5932"/>
      </w:tblGrid>
      <w:tr w14:paraId="15B5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noWrap w:val="0"/>
            <w:vAlign w:val="center"/>
          </w:tcPr>
          <w:p w14:paraId="4800B36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评分项目/权重</w:t>
            </w:r>
          </w:p>
        </w:tc>
        <w:tc>
          <w:tcPr>
            <w:tcW w:w="1649" w:type="dxa"/>
            <w:noWrap w:val="0"/>
            <w:vAlign w:val="center"/>
          </w:tcPr>
          <w:p w14:paraId="687A282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评审因素</w:t>
            </w:r>
          </w:p>
        </w:tc>
        <w:tc>
          <w:tcPr>
            <w:tcW w:w="5932" w:type="dxa"/>
            <w:noWrap w:val="0"/>
            <w:vAlign w:val="center"/>
          </w:tcPr>
          <w:p w14:paraId="6D0BDE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评审指标</w:t>
            </w:r>
          </w:p>
        </w:tc>
      </w:tr>
      <w:tr w14:paraId="65A0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0" w:type="dxa"/>
            <w:vMerge w:val="restart"/>
            <w:noWrap w:val="0"/>
            <w:vAlign w:val="center"/>
          </w:tcPr>
          <w:p w14:paraId="575756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p>
          <w:p w14:paraId="1888FF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技术评分（50%）</w:t>
            </w:r>
          </w:p>
          <w:p w14:paraId="1065EC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p>
          <w:p w14:paraId="3422DE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p>
          <w:p w14:paraId="62080B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p>
          <w:p w14:paraId="4AC7FD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p>
          <w:p w14:paraId="1744C7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p>
          <w:p w14:paraId="192335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p>
          <w:p w14:paraId="2BA553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p>
          <w:p w14:paraId="3E22FE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p>
        </w:tc>
        <w:tc>
          <w:tcPr>
            <w:tcW w:w="1649" w:type="dxa"/>
            <w:noWrap w:val="0"/>
            <w:vAlign w:val="center"/>
          </w:tcPr>
          <w:p w14:paraId="25E24D6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技术要求的响应情况（</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w:t>
            </w:r>
          </w:p>
        </w:tc>
        <w:tc>
          <w:tcPr>
            <w:tcW w:w="5932" w:type="dxa"/>
            <w:noWrap w:val="0"/>
            <w:vAlign w:val="center"/>
          </w:tcPr>
          <w:p w14:paraId="2A90A5E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考查、对比响应人对技术要求的响应情况，完全满足采购要求的得</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分，不满足</w:t>
            </w:r>
            <w:r>
              <w:rPr>
                <w:rFonts w:hint="eastAsia" w:ascii="仿宋_GB2312" w:hAnsi="仿宋_GB2312" w:eastAsia="仿宋_GB2312" w:cs="仿宋_GB2312"/>
                <w:sz w:val="32"/>
                <w:szCs w:val="32"/>
                <w:lang w:val="en-US" w:eastAsia="zh-CN"/>
              </w:rPr>
              <w:t>重要技术参数要求的，每项扣3分，不满足</w:t>
            </w:r>
            <w:r>
              <w:rPr>
                <w:rFonts w:hint="eastAsia" w:ascii="仿宋_GB2312" w:hAnsi="仿宋_GB2312" w:eastAsia="仿宋_GB2312" w:cs="仿宋_GB2312"/>
                <w:sz w:val="32"/>
                <w:szCs w:val="32"/>
              </w:rPr>
              <w:t>其他一般</w:t>
            </w:r>
            <w:r>
              <w:rPr>
                <w:rFonts w:hint="eastAsia" w:ascii="仿宋_GB2312" w:hAnsi="仿宋_GB2312" w:eastAsia="仿宋_GB2312" w:cs="仿宋_GB2312"/>
                <w:sz w:val="32"/>
                <w:szCs w:val="32"/>
                <w:lang w:val="en-US" w:eastAsia="zh-CN"/>
              </w:rPr>
              <w:t>技术参数</w:t>
            </w:r>
            <w:r>
              <w:rPr>
                <w:rFonts w:hint="eastAsia" w:ascii="仿宋_GB2312" w:hAnsi="仿宋_GB2312" w:eastAsia="仿宋_GB2312" w:cs="仿宋_GB2312"/>
                <w:sz w:val="32"/>
                <w:szCs w:val="32"/>
              </w:rPr>
              <w:t>要求的，每项扣</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分，扣完为止。</w:t>
            </w:r>
          </w:p>
          <w:p w14:paraId="1248420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p>
        </w:tc>
      </w:tr>
      <w:tr w14:paraId="3779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5" w:hRule="atLeast"/>
          <w:jc w:val="center"/>
        </w:trPr>
        <w:tc>
          <w:tcPr>
            <w:tcW w:w="1350" w:type="dxa"/>
            <w:vMerge w:val="continue"/>
            <w:noWrap w:val="0"/>
            <w:vAlign w:val="center"/>
          </w:tcPr>
          <w:p w14:paraId="7329C0C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tc>
        <w:tc>
          <w:tcPr>
            <w:tcW w:w="1649" w:type="dxa"/>
            <w:noWrap w:val="0"/>
            <w:vAlign w:val="center"/>
          </w:tcPr>
          <w:p w14:paraId="3A38A5D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响应服务计划（</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w:t>
            </w:r>
          </w:p>
        </w:tc>
        <w:tc>
          <w:tcPr>
            <w:tcW w:w="5932" w:type="dxa"/>
            <w:noWrap w:val="0"/>
            <w:vAlign w:val="center"/>
          </w:tcPr>
          <w:p w14:paraId="0676633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考查、对比响应人所投报服务计划的合理性、可行性：响应服务计划合理、可行的，得</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w:t>
            </w:r>
          </w:p>
          <w:p w14:paraId="6B8A877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响应服务计划较合理、可行的，得</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p w14:paraId="2AF9153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响应服务计划一般的，得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w:t>
            </w:r>
          </w:p>
          <w:p w14:paraId="31B1A8F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响应服务计划较差的，得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w:t>
            </w:r>
          </w:p>
        </w:tc>
      </w:tr>
      <w:tr w14:paraId="7AB1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0" w:hRule="atLeast"/>
          <w:jc w:val="center"/>
        </w:trPr>
        <w:tc>
          <w:tcPr>
            <w:tcW w:w="1350" w:type="dxa"/>
            <w:vMerge w:val="continue"/>
            <w:noWrap w:val="0"/>
            <w:vAlign w:val="center"/>
          </w:tcPr>
          <w:p w14:paraId="3BE4776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tc>
        <w:tc>
          <w:tcPr>
            <w:tcW w:w="1649" w:type="dxa"/>
            <w:noWrap w:val="0"/>
            <w:vAlign w:val="center"/>
          </w:tcPr>
          <w:p w14:paraId="6D7FDCB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项目负责人和项目主要管理、技术人员情况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w:t>
            </w:r>
          </w:p>
        </w:tc>
        <w:tc>
          <w:tcPr>
            <w:tcW w:w="5932" w:type="dxa"/>
            <w:noWrap w:val="0"/>
            <w:vAlign w:val="center"/>
          </w:tcPr>
          <w:p w14:paraId="2F39E6F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考查、对比响应人拟派项目负责人与项目主要管理、技术人员情况：</w:t>
            </w:r>
          </w:p>
          <w:p w14:paraId="5B875E3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项目负责人和项目主要管理、技术人员情况好且满足需求文件要求的，得</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w:t>
            </w:r>
          </w:p>
          <w:p w14:paraId="254EDC6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项目负责人和项目主要管理、技术人员情况较好且满足需求文件要求的，得1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w:t>
            </w:r>
          </w:p>
          <w:p w14:paraId="33A0347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项目负责人和项目主要管理、技术人员情况一般且满足需求文件要求的，得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w:t>
            </w:r>
          </w:p>
          <w:p w14:paraId="09D5FF9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项目负责人和项目主要管理、技术人员情况不满足需求文件要求的，得0分。</w:t>
            </w:r>
          </w:p>
        </w:tc>
      </w:tr>
      <w:tr w14:paraId="5BCB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restart"/>
            <w:noWrap w:val="0"/>
            <w:vAlign w:val="center"/>
          </w:tcPr>
          <w:p w14:paraId="439DD7D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14:paraId="3B6575F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商务评分（40%）</w:t>
            </w:r>
          </w:p>
          <w:p w14:paraId="76464B2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14:paraId="6AD3042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14:paraId="1726840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14:paraId="4303C72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14:paraId="1919281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14:paraId="1818590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14:paraId="36C6B5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14:paraId="6641879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14:paraId="3DAD5C1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14:paraId="7997D68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14:paraId="23239DF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14:paraId="206899B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tc>
        <w:tc>
          <w:tcPr>
            <w:tcW w:w="1649" w:type="dxa"/>
            <w:noWrap w:val="0"/>
            <w:vAlign w:val="center"/>
          </w:tcPr>
          <w:p w14:paraId="725E83E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经营业绩（</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tc>
        <w:tc>
          <w:tcPr>
            <w:tcW w:w="5932" w:type="dxa"/>
            <w:noWrap w:val="0"/>
            <w:vAlign w:val="center"/>
          </w:tcPr>
          <w:p w14:paraId="2A404D5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服务商须</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以来同类服务业绩。</w:t>
            </w:r>
          </w:p>
          <w:p w14:paraId="4ACCAC7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注：提供合同关键页（含签订合同双方的单位名称、合同项目名称、含签订合同双方的落款盖章、签订日期的关键页）复印件或验收报告复印件作为证明材料，业绩时间以合同签订日期为准。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提供一个得2分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本项最高得分为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p>
        </w:tc>
      </w:tr>
      <w:tr w14:paraId="3FED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continue"/>
            <w:noWrap w:val="0"/>
            <w:vAlign w:val="center"/>
          </w:tcPr>
          <w:p w14:paraId="278CFC1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tc>
        <w:tc>
          <w:tcPr>
            <w:tcW w:w="1649" w:type="dxa"/>
            <w:noWrap w:val="0"/>
            <w:vAlign w:val="center"/>
          </w:tcPr>
          <w:p w14:paraId="151C53B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规章管理制度（</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tc>
        <w:tc>
          <w:tcPr>
            <w:tcW w:w="5932" w:type="dxa"/>
            <w:noWrap w:val="0"/>
            <w:vAlign w:val="center"/>
          </w:tcPr>
          <w:p w14:paraId="21BE8E4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考查、对比响应人的各项规章管理制度是否详细、合理：</w:t>
            </w:r>
          </w:p>
          <w:p w14:paraId="07DBFA8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规章管理制度详细、合理的，得</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p w14:paraId="5367904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规章管理制度较详细、合理的，得</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w:t>
            </w:r>
          </w:p>
          <w:p w14:paraId="2A36480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规章管理制度简略、扼要的，得</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w:t>
            </w:r>
          </w:p>
          <w:p w14:paraId="3CBA1F2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规章管理制度粗略、不详细的，得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p>
          <w:p w14:paraId="169B55C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没有规章管理制度的，得0分。</w:t>
            </w:r>
          </w:p>
        </w:tc>
      </w:tr>
      <w:tr w14:paraId="2AFF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0" w:hRule="atLeast"/>
          <w:jc w:val="center"/>
        </w:trPr>
        <w:tc>
          <w:tcPr>
            <w:tcW w:w="1350" w:type="dxa"/>
            <w:vMerge w:val="continue"/>
            <w:noWrap w:val="0"/>
            <w:vAlign w:val="center"/>
          </w:tcPr>
          <w:p w14:paraId="24A2D0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tc>
        <w:tc>
          <w:tcPr>
            <w:tcW w:w="1649" w:type="dxa"/>
            <w:noWrap w:val="0"/>
            <w:vAlign w:val="center"/>
          </w:tcPr>
          <w:p w14:paraId="1A09875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售后服务</w:t>
            </w:r>
          </w:p>
          <w:p w14:paraId="1C7F765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tc>
        <w:tc>
          <w:tcPr>
            <w:tcW w:w="5932" w:type="dxa"/>
            <w:noWrap w:val="0"/>
            <w:vAlign w:val="center"/>
          </w:tcPr>
          <w:p w14:paraId="6FC1907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考查、对比售后服务机构、人员设置是否合理，售后服务计划是否详细、合理，是否能够承诺针对本项目提供及时、优质、专业的售后服务。</w:t>
            </w:r>
          </w:p>
          <w:p w14:paraId="5B930A6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售后服务合理、可行、优质、专业的，得</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p w14:paraId="0C54519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售后服务较合理、可行、较好的，得</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w:t>
            </w:r>
          </w:p>
          <w:p w14:paraId="1F2A68F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售后服务一般的，得</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w:t>
            </w:r>
          </w:p>
          <w:p w14:paraId="3970094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售后服务较差的，得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p>
        </w:tc>
      </w:tr>
      <w:tr w14:paraId="714A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continue"/>
            <w:noWrap w:val="0"/>
            <w:vAlign w:val="center"/>
          </w:tcPr>
          <w:p w14:paraId="62F391E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tc>
        <w:tc>
          <w:tcPr>
            <w:tcW w:w="1649" w:type="dxa"/>
            <w:noWrap w:val="0"/>
            <w:vAlign w:val="top"/>
          </w:tcPr>
          <w:p w14:paraId="5BD22DC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p>
          <w:p w14:paraId="37A8DB1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资信情况与履约能力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tc>
        <w:tc>
          <w:tcPr>
            <w:tcW w:w="5932" w:type="dxa"/>
            <w:noWrap w:val="0"/>
            <w:vAlign w:val="top"/>
          </w:tcPr>
          <w:p w14:paraId="2ED9D55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p>
          <w:p w14:paraId="5AF502C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考查、对比响应人的资信情况是否良好及是否具有较好的履约能力：</w:t>
            </w:r>
          </w:p>
          <w:p w14:paraId="4A6E34C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资信情况与履约能力好的，得</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p w14:paraId="4ABE9F3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资信情况与履约能力较好的，得</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w:t>
            </w:r>
          </w:p>
          <w:p w14:paraId="5F43FAC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资信情况与履约能力一般的，得</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w:t>
            </w:r>
          </w:p>
          <w:p w14:paraId="1DA79BE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资信情况与履约能力较差的，得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p>
          <w:p w14:paraId="5ECEEE8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sz w:val="32"/>
                <w:szCs w:val="32"/>
              </w:rPr>
            </w:pPr>
          </w:p>
        </w:tc>
      </w:tr>
      <w:tr w14:paraId="4C42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noWrap w:val="0"/>
            <w:vAlign w:val="center"/>
          </w:tcPr>
          <w:p w14:paraId="53A291E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价格评分（10%）</w:t>
            </w:r>
          </w:p>
        </w:tc>
        <w:tc>
          <w:tcPr>
            <w:tcW w:w="1649" w:type="dxa"/>
            <w:noWrap w:val="0"/>
            <w:vAlign w:val="center"/>
          </w:tcPr>
          <w:p w14:paraId="780D4E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报价情况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10分</w:t>
            </w:r>
            <w:r>
              <w:rPr>
                <w:rFonts w:hint="eastAsia" w:ascii="仿宋_GB2312" w:hAnsi="仿宋_GB2312" w:eastAsia="仿宋_GB2312" w:cs="仿宋_GB2312"/>
                <w:sz w:val="32"/>
                <w:szCs w:val="32"/>
                <w:lang w:eastAsia="zh-CN"/>
              </w:rPr>
              <w:t>）</w:t>
            </w:r>
          </w:p>
        </w:tc>
        <w:tc>
          <w:tcPr>
            <w:tcW w:w="5932" w:type="dxa"/>
            <w:noWrap w:val="0"/>
            <w:vAlign w:val="center"/>
          </w:tcPr>
          <w:p w14:paraId="0D360EE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符合招标文件要求，报价排序，价低者满分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0分，依次递减</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p>
        </w:tc>
      </w:tr>
    </w:tbl>
    <w:p w14:paraId="76EEFAD0"/>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E77A04-47D3-4B8A-AC86-2FCA5D1D1D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93AB78C-9487-4592-90BD-6A9D2DE79254}"/>
  </w:font>
  <w:font w:name="方正小标宋简体">
    <w:panose1 w:val="03000509000000000000"/>
    <w:charset w:val="86"/>
    <w:family w:val="auto"/>
    <w:pitch w:val="default"/>
    <w:sig w:usb0="00000001" w:usb1="080E0000" w:usb2="00000000" w:usb3="00000000" w:csb0="00040000" w:csb1="00000000"/>
    <w:embedRegular r:id="rId3" w:fontKey="{ABD1105A-A574-43E3-A919-072D2C0EC4B7}"/>
  </w:font>
  <w:font w:name="仿宋_GB2312">
    <w:panose1 w:val="02010609030101010101"/>
    <w:charset w:val="86"/>
    <w:family w:val="auto"/>
    <w:pitch w:val="default"/>
    <w:sig w:usb0="00000001" w:usb1="080E0000" w:usb2="00000000" w:usb3="00000000" w:csb0="00040000" w:csb1="00000000"/>
    <w:embedRegular r:id="rId4" w:fontKey="{C26707A2-5FD8-4129-B7FA-0F02D5321657}"/>
  </w:font>
  <w:font w:name="楷体_GB2312">
    <w:panose1 w:val="02010609030101010101"/>
    <w:charset w:val="86"/>
    <w:family w:val="auto"/>
    <w:pitch w:val="default"/>
    <w:sig w:usb0="00000001" w:usb1="080E0000" w:usb2="00000000" w:usb3="00000000" w:csb0="00040000" w:csb1="00000000"/>
    <w:embedRegular r:id="rId5" w:fontKey="{76ABC6B0-D12D-45D3-8E00-73F41F117F6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Nzk1Yjc3ZmM4NDM1MjIwNjZlYmM0ZjkyNzEzOTgifQ=="/>
  </w:docVars>
  <w:rsids>
    <w:rsidRoot w:val="00000000"/>
    <w:rsid w:val="01CE3CA3"/>
    <w:rsid w:val="0875071D"/>
    <w:rsid w:val="0F9A1CE4"/>
    <w:rsid w:val="155A1AA0"/>
    <w:rsid w:val="16CC589C"/>
    <w:rsid w:val="1A715B4A"/>
    <w:rsid w:val="1C6C4F4B"/>
    <w:rsid w:val="21E32762"/>
    <w:rsid w:val="245B0F16"/>
    <w:rsid w:val="25B857F7"/>
    <w:rsid w:val="26BD6A82"/>
    <w:rsid w:val="27E2427B"/>
    <w:rsid w:val="2AEF5081"/>
    <w:rsid w:val="301F17AE"/>
    <w:rsid w:val="36B9054A"/>
    <w:rsid w:val="3BA932A0"/>
    <w:rsid w:val="3C230FA5"/>
    <w:rsid w:val="3EE373DE"/>
    <w:rsid w:val="3F9603F1"/>
    <w:rsid w:val="43B736D3"/>
    <w:rsid w:val="45545DF7"/>
    <w:rsid w:val="4C3846F8"/>
    <w:rsid w:val="5770733F"/>
    <w:rsid w:val="57C806E3"/>
    <w:rsid w:val="6BAA47F0"/>
    <w:rsid w:val="6D0E5786"/>
    <w:rsid w:val="72C40DC1"/>
    <w:rsid w:val="73764B58"/>
    <w:rsid w:val="7A5E32F5"/>
    <w:rsid w:val="7FF77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1518</Words>
  <Characters>1589</Characters>
  <Lines>0</Lines>
  <Paragraphs>0</Paragraphs>
  <TotalTime>8</TotalTime>
  <ScaleCrop>false</ScaleCrop>
  <LinksUpToDate>false</LinksUpToDate>
  <CharactersWithSpaces>1595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2023-11-21T06:39:00Z</dcterms:created>
  <dc:creator>GONG</dc:creator>
  <cp:lastModifiedBy>Administrator</cp:lastModifiedBy>
  <dcterms:modified xsi:type="dcterms:W3CDTF">2025-07-25T08:28:29Z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18FBAFA1854048BDAE1BA338FC37F26E_13</vt:lpwstr>
  </property>
  <property fmtid="{D5CDD505-2E9C-101B-9397-08002B2CF9AE}" pid="4" name="ribbonExt">
    <vt:lpwstr>{"WPSExtOfficeTab":{"OnGetEnabled":false,"OnGetVisible":false}}</vt:lpwstr>
  </property>
  <property fmtid="{D5CDD505-2E9C-101B-9397-08002B2CF9AE}" pid="5" name="KSOTemplateDocerSaveRecord">
    <vt:lpwstr>eyJoZGlkIjoiNjEwMzE5ZGE0YWMzZjIyMzRiNWVhOTkyNjYwN2I5ZTcifQ==</vt:lpwstr>
  </property>
</Properties>
</file>